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Default Extension="png" ContentType="image/png"/>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254" w:lineRule="auto" w:before="88"/>
        <w:ind w:left="910" w:right="765" w:firstLine="480"/>
        <w:jc w:val="left"/>
        <w:rPr>
          <w:rFonts w:ascii="Droid Sans Fallback" w:eastAsia="Droid Sans Fallback" w:hint="eastAsia"/>
          <w:sz w:val="48"/>
        </w:rPr>
      </w:pPr>
      <w:r>
        <w:rPr>
          <w:rFonts w:ascii="Droid Sans Fallback" w:eastAsia="Droid Sans Fallback" w:hint="eastAsia"/>
          <w:sz w:val="48"/>
        </w:rPr>
        <w:t>宁波华茂教育文化投资有限公司 东钱湖国际教育论坛项目（博物馆）</w:t>
      </w:r>
    </w:p>
    <w:p>
      <w:pPr>
        <w:spacing w:before="0"/>
        <w:ind w:left="1870" w:right="0" w:firstLine="0"/>
        <w:jc w:val="left"/>
        <w:rPr>
          <w:rFonts w:ascii="Droid Sans Fallback" w:eastAsia="Droid Sans Fallback" w:hint="eastAsia"/>
          <w:sz w:val="48"/>
        </w:rPr>
      </w:pPr>
      <w:r>
        <w:rPr>
          <w:rFonts w:ascii="Droid Sans Fallback" w:eastAsia="Droid Sans Fallback" w:hint="eastAsia"/>
          <w:sz w:val="48"/>
        </w:rPr>
        <w:t>竣工环境保护验收调查报告</w:t>
      </w:r>
    </w:p>
    <w:p>
      <w:pPr>
        <w:pStyle w:val="BodyText"/>
        <w:rPr>
          <w:rFonts w:ascii="Droid Sans Fallback"/>
          <w:sz w:val="62"/>
        </w:rPr>
      </w:pPr>
    </w:p>
    <w:p>
      <w:pPr>
        <w:pStyle w:val="BodyText"/>
        <w:rPr>
          <w:rFonts w:ascii="Droid Sans Fallback"/>
          <w:sz w:val="62"/>
        </w:rPr>
      </w:pPr>
    </w:p>
    <w:p>
      <w:pPr>
        <w:pStyle w:val="BodyText"/>
        <w:rPr>
          <w:rFonts w:ascii="Droid Sans Fallback"/>
          <w:sz w:val="62"/>
        </w:rPr>
      </w:pPr>
    </w:p>
    <w:p>
      <w:pPr>
        <w:pStyle w:val="BodyText"/>
        <w:spacing w:before="8"/>
        <w:rPr>
          <w:rFonts w:ascii="Droid Sans Fallback"/>
          <w:sz w:val="88"/>
        </w:rPr>
      </w:pPr>
    </w:p>
    <w:p>
      <w:pPr>
        <w:pStyle w:val="Heading1"/>
        <w:spacing w:line="254" w:lineRule="auto"/>
        <w:ind w:left="1711" w:right="1569" w:firstLine="0"/>
        <w:jc w:val="center"/>
      </w:pPr>
      <w:r>
        <w:rPr/>
        <w:t>建设单位：宁波华茂教育文化投资有限公司编制单位：宁波华茂教育文化投资有限公司</w:t>
      </w:r>
    </w:p>
    <w:p>
      <w:pPr>
        <w:pStyle w:val="BodyText"/>
        <w:spacing w:before="16"/>
        <w:rPr>
          <w:rFonts w:ascii="Droid Sans Fallback"/>
          <w:sz w:val="33"/>
        </w:rPr>
      </w:pPr>
    </w:p>
    <w:p>
      <w:pPr>
        <w:spacing w:before="0"/>
        <w:ind w:left="1708" w:right="1569" w:firstLine="0"/>
        <w:jc w:val="center"/>
        <w:rPr>
          <w:rFonts w:ascii="Droid Sans Fallback" w:eastAsia="Droid Sans Fallback" w:hint="eastAsia"/>
          <w:sz w:val="32"/>
        </w:rPr>
      </w:pPr>
      <w:r>
        <w:rPr>
          <w:rFonts w:ascii="Times New Roman" w:eastAsia="Times New Roman"/>
          <w:b/>
          <w:sz w:val="32"/>
        </w:rPr>
        <w:t>2019 </w:t>
      </w:r>
      <w:r>
        <w:rPr>
          <w:rFonts w:ascii="Droid Sans Fallback" w:eastAsia="Droid Sans Fallback" w:hint="eastAsia"/>
          <w:sz w:val="32"/>
        </w:rPr>
        <w:t>年 </w:t>
      </w:r>
      <w:r>
        <w:rPr>
          <w:rFonts w:ascii="Times New Roman" w:eastAsia="Times New Roman"/>
          <w:b/>
          <w:sz w:val="32"/>
        </w:rPr>
        <w:t>9 </w:t>
      </w:r>
      <w:r>
        <w:rPr>
          <w:rFonts w:ascii="Droid Sans Fallback" w:eastAsia="Droid Sans Fallback" w:hint="eastAsia"/>
          <w:sz w:val="32"/>
        </w:rPr>
        <w:t>月</w:t>
      </w:r>
    </w:p>
    <w:p>
      <w:pPr>
        <w:spacing w:after="0"/>
        <w:jc w:val="center"/>
        <w:rPr>
          <w:rFonts w:ascii="Droid Sans Fallback" w:eastAsia="Droid Sans Fallback" w:hint="eastAsia"/>
          <w:sz w:val="32"/>
        </w:rPr>
        <w:sectPr>
          <w:type w:val="continuous"/>
          <w:pgSz w:w="11910" w:h="16840"/>
          <w:pgMar w:top="1580" w:bottom="280" w:left="1200" w:right="1340"/>
        </w:sectPr>
      </w:pPr>
    </w:p>
    <w:p>
      <w:pPr>
        <w:pStyle w:val="Heading1"/>
        <w:spacing w:line="558" w:lineRule="exact"/>
        <w:ind w:firstLine="0"/>
      </w:pPr>
      <w:r>
        <w:rPr/>
        <w:t>建设单位：宁波华茂教育文化投资有限公司</w:t>
      </w:r>
    </w:p>
    <w:p>
      <w:pPr>
        <w:spacing w:before="35"/>
        <w:ind w:left="614" w:right="0" w:firstLine="0"/>
        <w:jc w:val="left"/>
        <w:rPr>
          <w:rFonts w:ascii="Droid Sans Fallback" w:eastAsia="Droid Sans Fallback" w:hint="eastAsia"/>
          <w:sz w:val="32"/>
        </w:rPr>
      </w:pPr>
      <w:r>
        <w:rPr>
          <w:rFonts w:ascii="Droid Sans Fallback" w:eastAsia="Droid Sans Fallback" w:hint="eastAsia"/>
          <w:w w:val="95"/>
          <w:sz w:val="32"/>
        </w:rPr>
        <w:t>法人代表：徐万茂</w:t>
      </w:r>
    </w:p>
    <w:p>
      <w:pPr>
        <w:pStyle w:val="BodyText"/>
        <w:spacing w:before="15"/>
        <w:rPr>
          <w:rFonts w:ascii="Droid Sans Fallback"/>
          <w:sz w:val="35"/>
        </w:rPr>
      </w:pPr>
    </w:p>
    <w:p>
      <w:pPr>
        <w:spacing w:line="254" w:lineRule="auto" w:before="0"/>
        <w:ind w:left="614" w:right="2673" w:firstLine="0"/>
        <w:jc w:val="left"/>
        <w:rPr>
          <w:rFonts w:ascii="Droid Sans Fallback" w:eastAsia="Droid Sans Fallback" w:hint="eastAsia"/>
          <w:sz w:val="32"/>
        </w:rPr>
      </w:pPr>
      <w:r>
        <w:rPr>
          <w:rFonts w:ascii="Droid Sans Fallback" w:eastAsia="Droid Sans Fallback" w:hint="eastAsia"/>
          <w:sz w:val="32"/>
        </w:rPr>
        <w:t>编制单位：宁波华茂教育文化投资有限公司法人代表：徐万茂</w:t>
      </w:r>
    </w:p>
    <w:p>
      <w:pPr>
        <w:spacing w:before="1"/>
        <w:ind w:left="614" w:right="0" w:firstLine="0"/>
        <w:jc w:val="left"/>
        <w:rPr>
          <w:rFonts w:ascii="Droid Sans Fallback" w:eastAsia="Droid Sans Fallback" w:hint="eastAsia"/>
          <w:sz w:val="32"/>
        </w:rPr>
      </w:pPr>
      <w:r>
        <w:rPr>
          <w:rFonts w:ascii="Droid Sans Fallback" w:eastAsia="Droid Sans Fallback" w:hint="eastAsia"/>
          <w:sz w:val="32"/>
        </w:rPr>
        <w:t>项目负责人：毛宏伟</w:t>
      </w:r>
    </w:p>
    <w:p>
      <w:pPr>
        <w:pStyle w:val="BodyText"/>
        <w:spacing w:before="15"/>
        <w:rPr>
          <w:rFonts w:ascii="Droid Sans Fallback"/>
          <w:sz w:val="35"/>
        </w:rPr>
      </w:pPr>
    </w:p>
    <w:p>
      <w:pPr>
        <w:spacing w:line="254" w:lineRule="auto" w:before="0"/>
        <w:ind w:left="614" w:right="2994" w:firstLine="0"/>
        <w:jc w:val="left"/>
        <w:rPr>
          <w:rFonts w:ascii="Droid Sans Fallback" w:eastAsia="Droid Sans Fallback" w:hint="eastAsia"/>
          <w:sz w:val="32"/>
        </w:rPr>
      </w:pPr>
      <w:r>
        <w:rPr>
          <w:rFonts w:ascii="Droid Sans Fallback" w:eastAsia="Droid Sans Fallback" w:hint="eastAsia"/>
          <w:w w:val="95"/>
          <w:sz w:val="32"/>
        </w:rPr>
        <w:t>咨询单位：浙江仁欣环科院有限责任公司</w:t>
      </w:r>
      <w:r>
        <w:rPr>
          <w:rFonts w:ascii="Droid Sans Fallback" w:eastAsia="Droid Sans Fallback" w:hint="eastAsia"/>
          <w:sz w:val="32"/>
        </w:rPr>
        <w:t>法人代表：张冰</w:t>
      </w:r>
    </w:p>
    <w:p>
      <w:pPr>
        <w:pStyle w:val="BodyText"/>
        <w:rPr>
          <w:rFonts w:ascii="Droid Sans Fallback"/>
          <w:sz w:val="42"/>
        </w:rPr>
      </w:pPr>
    </w:p>
    <w:p>
      <w:pPr>
        <w:pStyle w:val="BodyText"/>
        <w:spacing w:before="9"/>
        <w:rPr>
          <w:rFonts w:ascii="Droid Sans Fallback"/>
          <w:sz w:val="26"/>
        </w:rPr>
      </w:pPr>
    </w:p>
    <w:p>
      <w:pPr>
        <w:pStyle w:val="BodyText"/>
        <w:spacing w:line="252" w:lineRule="auto"/>
        <w:ind w:left="614" w:right="4755"/>
        <w:rPr>
          <w:rFonts w:ascii="Times New Roman" w:eastAsia="Times New Roman"/>
        </w:rPr>
      </w:pPr>
      <w:r>
        <w:rPr/>
        <w:t>建设单位：宁波华茂教育文化投资有限公司电话：</w:t>
      </w:r>
      <w:r>
        <w:rPr>
          <w:rFonts w:ascii="Times New Roman" w:eastAsia="Times New Roman"/>
        </w:rPr>
        <w:t>18057458058</w:t>
      </w:r>
    </w:p>
    <w:p>
      <w:pPr>
        <w:pStyle w:val="BodyText"/>
        <w:spacing w:line="252" w:lineRule="auto" w:before="1"/>
        <w:ind w:left="614" w:right="5281"/>
        <w:rPr>
          <w:rFonts w:ascii="Times New Roman" w:eastAsia="Times New Roman"/>
        </w:rPr>
      </w:pPr>
      <w:r>
        <w:rPr/>
        <w:t>地址：东钱湖旅游度假区连心路 </w:t>
      </w:r>
      <w:r>
        <w:rPr>
          <w:rFonts w:ascii="Times New Roman" w:eastAsia="Times New Roman"/>
        </w:rPr>
        <w:t>99 </w:t>
      </w:r>
      <w:r>
        <w:rPr/>
        <w:t>号邮编：</w:t>
      </w:r>
      <w:r>
        <w:rPr>
          <w:rFonts w:ascii="Times New Roman" w:eastAsia="Times New Roman"/>
        </w:rPr>
        <w:t>315121</w:t>
      </w:r>
    </w:p>
    <w:p>
      <w:pPr>
        <w:pStyle w:val="BodyText"/>
        <w:rPr>
          <w:rFonts w:ascii="Times New Roman"/>
          <w:sz w:val="22"/>
        </w:rPr>
      </w:pPr>
    </w:p>
    <w:p>
      <w:pPr>
        <w:pStyle w:val="BodyText"/>
        <w:spacing w:before="9"/>
        <w:rPr>
          <w:rFonts w:ascii="Times New Roman"/>
          <w:sz w:val="18"/>
        </w:rPr>
      </w:pPr>
    </w:p>
    <w:p>
      <w:pPr>
        <w:pStyle w:val="BodyText"/>
        <w:spacing w:line="252" w:lineRule="auto"/>
        <w:ind w:left="614" w:right="4755"/>
        <w:rPr>
          <w:rFonts w:ascii="Times New Roman" w:eastAsia="Times New Roman"/>
        </w:rPr>
      </w:pPr>
      <w:r>
        <w:rPr/>
        <w:t>编制单位：宁波华茂教育文化投资有限公司电话：</w:t>
      </w:r>
      <w:r>
        <w:rPr>
          <w:rFonts w:ascii="Times New Roman" w:eastAsia="Times New Roman"/>
        </w:rPr>
        <w:t>18057458058</w:t>
      </w:r>
    </w:p>
    <w:p>
      <w:pPr>
        <w:pStyle w:val="BodyText"/>
        <w:spacing w:line="252" w:lineRule="auto" w:before="2"/>
        <w:ind w:left="614" w:right="5281"/>
        <w:rPr>
          <w:rFonts w:ascii="Times New Roman" w:eastAsia="Times New Roman"/>
        </w:rPr>
      </w:pPr>
      <w:r>
        <w:rPr/>
        <w:t>地址：东钱湖旅游度假区连心路 </w:t>
      </w:r>
      <w:r>
        <w:rPr>
          <w:rFonts w:ascii="Times New Roman" w:eastAsia="Times New Roman"/>
        </w:rPr>
        <w:t>99 </w:t>
      </w:r>
      <w:r>
        <w:rPr/>
        <w:t>号邮编：</w:t>
      </w:r>
      <w:r>
        <w:rPr>
          <w:rFonts w:ascii="Times New Roman" w:eastAsia="Times New Roman"/>
        </w:rPr>
        <w:t>315121</w:t>
      </w:r>
    </w:p>
    <w:p>
      <w:pPr>
        <w:pStyle w:val="BodyText"/>
        <w:rPr>
          <w:rFonts w:ascii="Times New Roman"/>
          <w:sz w:val="22"/>
        </w:rPr>
      </w:pPr>
    </w:p>
    <w:p>
      <w:pPr>
        <w:pStyle w:val="BodyText"/>
        <w:spacing w:before="9"/>
        <w:rPr>
          <w:rFonts w:ascii="Times New Roman"/>
          <w:sz w:val="18"/>
        </w:rPr>
      </w:pPr>
    </w:p>
    <w:p>
      <w:pPr>
        <w:pStyle w:val="BodyText"/>
        <w:spacing w:line="252" w:lineRule="auto"/>
        <w:ind w:left="614" w:right="4964"/>
        <w:rPr>
          <w:rFonts w:ascii="Times New Roman" w:eastAsia="Times New Roman"/>
        </w:rPr>
      </w:pPr>
      <w:r>
        <w:rPr/>
        <w:t>咨询单位：浙江仁欣环科院有限责任公司电话：</w:t>
      </w:r>
      <w:r>
        <w:rPr>
          <w:rFonts w:ascii="Times New Roman" w:eastAsia="Times New Roman"/>
        </w:rPr>
        <w:t>55000387</w:t>
      </w:r>
    </w:p>
    <w:p>
      <w:pPr>
        <w:pStyle w:val="BodyText"/>
        <w:spacing w:line="252" w:lineRule="auto" w:before="1"/>
        <w:ind w:left="614" w:right="5597"/>
        <w:rPr>
          <w:rFonts w:ascii="Times New Roman" w:eastAsia="Times New Roman"/>
        </w:rPr>
      </w:pPr>
      <w:r>
        <w:rPr/>
        <w:t>地址：鄞州南部商务区水街 </w:t>
      </w:r>
      <w:r>
        <w:rPr>
          <w:rFonts w:ascii="Times New Roman" w:eastAsia="Times New Roman"/>
        </w:rPr>
        <w:t>3 </w:t>
      </w:r>
      <w:r>
        <w:rPr/>
        <w:t>号楼邮编：</w:t>
      </w:r>
      <w:r>
        <w:rPr>
          <w:rFonts w:ascii="Times New Roman" w:eastAsia="Times New Roman"/>
        </w:rPr>
        <w:t>315000</w:t>
      </w:r>
    </w:p>
    <w:p>
      <w:pPr>
        <w:spacing w:after="0" w:line="252" w:lineRule="auto"/>
        <w:rPr>
          <w:rFonts w:ascii="Times New Roman" w:eastAsia="Times New Roman"/>
        </w:rPr>
        <w:sectPr>
          <w:pgSz w:w="11910" w:h="16840"/>
          <w:pgMar w:top="1440" w:bottom="280" w:left="1200" w:right="1340"/>
        </w:sectPr>
      </w:pPr>
    </w:p>
    <w:p>
      <w:pPr>
        <w:pStyle w:val="Heading1"/>
        <w:spacing w:line="552" w:lineRule="exact"/>
        <w:ind w:left="1711" w:right="1466" w:firstLine="0"/>
        <w:jc w:val="center"/>
        <w:rPr>
          <w:rFonts w:ascii="Noto Sans CJK JP Regular" w:eastAsia="Noto Sans CJK JP Regular" w:hint="eastAsia"/>
        </w:rPr>
      </w:pPr>
      <w:r>
        <w:rPr>
          <w:rFonts w:ascii="Noto Sans CJK JP Regular" w:eastAsia="Noto Sans CJK JP Regular" w:hint="eastAsia"/>
        </w:rPr>
        <w:t>目录</w:t>
      </w:r>
    </w:p>
    <w:sdt>
      <w:sdtPr>
        <w:docPartObj>
          <w:docPartGallery w:val="Table of Contents"/>
          <w:docPartUnique/>
        </w:docPartObj>
      </w:sdtPr>
      <w:sdtEndPr/>
      <w:sdtContent>
        <w:p>
          <w:pPr>
            <w:pStyle w:val="TOC1"/>
            <w:numPr>
              <w:ilvl w:val="0"/>
              <w:numId w:val="1"/>
            </w:numPr>
            <w:tabs>
              <w:tab w:pos="924" w:val="left" w:leader="none"/>
              <w:tab w:pos="1035" w:val="left" w:leader="none"/>
              <w:tab w:pos="9146" w:val="right" w:leader="dot"/>
            </w:tabs>
            <w:spacing w:line="470" w:lineRule="exact" w:before="863" w:after="0"/>
            <w:ind w:left="1034" w:right="0" w:hanging="420"/>
            <w:jc w:val="left"/>
            <w:rPr>
              <w:rFonts w:ascii="Times New Roman" w:eastAsia="Times New Roman"/>
              <w:b/>
            </w:rPr>
          </w:pPr>
          <w:hyperlink w:history="true" w:anchor="_TOC_250010">
            <w:r>
              <w:rPr/>
              <w:t>项目总体情况</w:t>
              <w:tab/>
            </w:r>
            <w:r>
              <w:rPr>
                <w:rFonts w:ascii="Times New Roman" w:eastAsia="Times New Roman"/>
                <w:b/>
              </w:rPr>
              <w:t>2</w:t>
            </w:r>
          </w:hyperlink>
        </w:p>
        <w:p>
          <w:pPr>
            <w:pStyle w:val="TOC1"/>
            <w:numPr>
              <w:ilvl w:val="0"/>
              <w:numId w:val="1"/>
            </w:numPr>
            <w:tabs>
              <w:tab w:pos="924" w:val="left" w:leader="none"/>
              <w:tab w:pos="1035" w:val="left" w:leader="none"/>
              <w:tab w:pos="9146" w:val="right" w:leader="dot"/>
            </w:tabs>
            <w:spacing w:line="431" w:lineRule="exact" w:before="0" w:after="0"/>
            <w:ind w:left="1034" w:right="0" w:hanging="420"/>
            <w:jc w:val="left"/>
            <w:rPr>
              <w:rFonts w:ascii="Times New Roman" w:eastAsia="Times New Roman"/>
              <w:b/>
            </w:rPr>
          </w:pPr>
          <w:hyperlink w:history="true" w:anchor="_TOC_250009">
            <w:r>
              <w:rPr/>
              <w:t>调查范围、因子、目标、重点等</w:t>
              <w:tab/>
            </w:r>
            <w:r>
              <w:rPr>
                <w:rFonts w:ascii="Times New Roman" w:eastAsia="Times New Roman"/>
                <w:b/>
              </w:rPr>
              <w:t>4</w:t>
            </w:r>
          </w:hyperlink>
        </w:p>
        <w:p>
          <w:pPr>
            <w:pStyle w:val="TOC1"/>
            <w:numPr>
              <w:ilvl w:val="0"/>
              <w:numId w:val="1"/>
            </w:numPr>
            <w:tabs>
              <w:tab w:pos="924" w:val="left" w:leader="none"/>
              <w:tab w:pos="1035" w:val="left" w:leader="none"/>
              <w:tab w:pos="9146" w:val="right" w:leader="dot"/>
            </w:tabs>
            <w:spacing w:line="431" w:lineRule="exact" w:before="0" w:after="0"/>
            <w:ind w:left="1034" w:right="0" w:hanging="420"/>
            <w:jc w:val="left"/>
            <w:rPr>
              <w:rFonts w:ascii="Times New Roman" w:eastAsia="Times New Roman"/>
              <w:b/>
            </w:rPr>
          </w:pPr>
          <w:hyperlink w:history="true" w:anchor="_TOC_250008">
            <w:r>
              <w:rPr/>
              <w:t>验收执行标准</w:t>
              <w:tab/>
            </w:r>
            <w:r>
              <w:rPr>
                <w:rFonts w:ascii="Times New Roman" w:eastAsia="Times New Roman"/>
                <w:b/>
              </w:rPr>
              <w:t>5</w:t>
            </w:r>
          </w:hyperlink>
        </w:p>
        <w:p>
          <w:pPr>
            <w:pStyle w:val="TOC1"/>
            <w:numPr>
              <w:ilvl w:val="0"/>
              <w:numId w:val="1"/>
            </w:numPr>
            <w:tabs>
              <w:tab w:pos="924" w:val="left" w:leader="none"/>
              <w:tab w:pos="1035" w:val="left" w:leader="none"/>
              <w:tab w:pos="9146" w:val="right" w:leader="dot"/>
            </w:tabs>
            <w:spacing w:line="432" w:lineRule="exact" w:before="0" w:after="0"/>
            <w:ind w:left="1034" w:right="0" w:hanging="420"/>
            <w:jc w:val="left"/>
            <w:rPr>
              <w:rFonts w:ascii="Times New Roman" w:eastAsia="Times New Roman"/>
              <w:b/>
            </w:rPr>
          </w:pPr>
          <w:hyperlink w:history="true" w:anchor="_TOC_250007">
            <w:r>
              <w:rPr/>
              <w:t>工程概况</w:t>
              <w:tab/>
            </w:r>
            <w:r>
              <w:rPr>
                <w:rFonts w:ascii="Times New Roman" w:eastAsia="Times New Roman"/>
                <w:b/>
              </w:rPr>
              <w:t>7</w:t>
            </w:r>
          </w:hyperlink>
        </w:p>
        <w:p>
          <w:pPr>
            <w:pStyle w:val="TOC1"/>
            <w:numPr>
              <w:ilvl w:val="0"/>
              <w:numId w:val="1"/>
            </w:numPr>
            <w:tabs>
              <w:tab w:pos="924" w:val="left" w:leader="none"/>
              <w:tab w:pos="1035" w:val="left" w:leader="none"/>
              <w:tab w:pos="9146" w:val="right" w:leader="dot"/>
            </w:tabs>
            <w:spacing w:line="431" w:lineRule="exact" w:before="0" w:after="0"/>
            <w:ind w:left="1034" w:right="0" w:hanging="420"/>
            <w:jc w:val="left"/>
            <w:rPr>
              <w:rFonts w:ascii="Times New Roman" w:eastAsia="Times New Roman"/>
              <w:b/>
            </w:rPr>
          </w:pPr>
          <w:hyperlink w:history="true" w:anchor="_TOC_250006">
            <w:r>
              <w:rPr/>
              <w:t>环境影响评价回顾</w:t>
              <w:tab/>
            </w:r>
            <w:r>
              <w:rPr>
                <w:rFonts w:ascii="Times New Roman" w:eastAsia="Times New Roman"/>
                <w:b/>
              </w:rPr>
              <w:t>12</w:t>
            </w:r>
          </w:hyperlink>
        </w:p>
        <w:p>
          <w:pPr>
            <w:pStyle w:val="TOC1"/>
            <w:numPr>
              <w:ilvl w:val="0"/>
              <w:numId w:val="1"/>
            </w:numPr>
            <w:tabs>
              <w:tab w:pos="924" w:val="left" w:leader="none"/>
              <w:tab w:pos="1035" w:val="left" w:leader="none"/>
              <w:tab w:pos="9146" w:val="right" w:leader="dot"/>
            </w:tabs>
            <w:spacing w:line="431" w:lineRule="exact" w:before="0" w:after="0"/>
            <w:ind w:left="1034" w:right="0" w:hanging="420"/>
            <w:jc w:val="left"/>
            <w:rPr>
              <w:rFonts w:ascii="Times New Roman" w:eastAsia="Times New Roman"/>
              <w:b/>
            </w:rPr>
          </w:pPr>
          <w:hyperlink w:history="true" w:anchor="_TOC_250005">
            <w:r>
              <w:rPr/>
              <w:t>环境保护措施执行情况</w:t>
              <w:tab/>
            </w:r>
            <w:r>
              <w:rPr>
                <w:rFonts w:ascii="Times New Roman" w:eastAsia="Times New Roman"/>
                <w:b/>
              </w:rPr>
              <w:t>19</w:t>
            </w:r>
          </w:hyperlink>
        </w:p>
        <w:p>
          <w:pPr>
            <w:pStyle w:val="TOC2"/>
            <w:numPr>
              <w:ilvl w:val="0"/>
              <w:numId w:val="1"/>
            </w:numPr>
            <w:tabs>
              <w:tab w:pos="924" w:val="left" w:leader="none"/>
              <w:tab w:pos="1035" w:val="left" w:leader="none"/>
              <w:tab w:pos="9146" w:val="right" w:leader="dot"/>
            </w:tabs>
            <w:spacing w:line="432" w:lineRule="exact" w:before="0" w:after="0"/>
            <w:ind w:left="1034" w:right="0" w:hanging="420"/>
            <w:jc w:val="left"/>
            <w:rPr>
              <w:rFonts w:ascii="Times New Roman" w:eastAsia="Times New Roman"/>
              <w:i w:val="0"/>
              <w:sz w:val="24"/>
            </w:rPr>
          </w:pPr>
          <w:hyperlink w:history="true" w:anchor="_TOC_250004">
            <w:r>
              <w:rPr>
                <w:b w:val="0"/>
                <w:i w:val="0"/>
                <w:sz w:val="24"/>
              </w:rPr>
              <w:t>环境影响调查</w:t>
              <w:tab/>
            </w:r>
            <w:r>
              <w:rPr>
                <w:rFonts w:ascii="Times New Roman" w:eastAsia="Times New Roman"/>
                <w:i w:val="0"/>
                <w:sz w:val="24"/>
              </w:rPr>
              <w:t>24</w:t>
            </w:r>
          </w:hyperlink>
        </w:p>
        <w:p>
          <w:pPr>
            <w:pStyle w:val="TOC1"/>
            <w:numPr>
              <w:ilvl w:val="0"/>
              <w:numId w:val="1"/>
            </w:numPr>
            <w:tabs>
              <w:tab w:pos="924" w:val="left" w:leader="none"/>
              <w:tab w:pos="1035" w:val="left" w:leader="none"/>
              <w:tab w:pos="9146" w:val="right" w:leader="dot"/>
            </w:tabs>
            <w:spacing w:line="431" w:lineRule="exact" w:before="0" w:after="0"/>
            <w:ind w:left="1034" w:right="0" w:hanging="420"/>
            <w:jc w:val="left"/>
            <w:rPr>
              <w:rFonts w:ascii="Times New Roman" w:eastAsia="Times New Roman"/>
              <w:b/>
            </w:rPr>
          </w:pPr>
          <w:hyperlink w:history="true" w:anchor="_TOC_250003">
            <w:r>
              <w:rPr/>
              <w:t>环境质量及污染源监测</w:t>
              <w:tab/>
            </w:r>
            <w:r>
              <w:rPr>
                <w:rFonts w:ascii="Times New Roman" w:eastAsia="Times New Roman"/>
                <w:b/>
              </w:rPr>
              <w:t>25</w:t>
            </w:r>
          </w:hyperlink>
        </w:p>
        <w:p>
          <w:pPr>
            <w:pStyle w:val="TOC1"/>
            <w:numPr>
              <w:ilvl w:val="0"/>
              <w:numId w:val="1"/>
            </w:numPr>
            <w:tabs>
              <w:tab w:pos="924" w:val="left" w:leader="none"/>
              <w:tab w:pos="1035" w:val="left" w:leader="none"/>
              <w:tab w:pos="9146" w:val="right" w:leader="dot"/>
            </w:tabs>
            <w:spacing w:line="431" w:lineRule="exact" w:before="0" w:after="0"/>
            <w:ind w:left="1034" w:right="0" w:hanging="420"/>
            <w:jc w:val="left"/>
            <w:rPr>
              <w:rFonts w:ascii="Times New Roman" w:eastAsia="Times New Roman"/>
              <w:b/>
            </w:rPr>
          </w:pPr>
          <w:hyperlink w:history="true" w:anchor="_TOC_250002">
            <w:r>
              <w:rPr/>
              <w:t>环境管理状况及监测计划</w:t>
              <w:tab/>
            </w:r>
            <w:r>
              <w:rPr>
                <w:rFonts w:ascii="Times New Roman" w:eastAsia="Times New Roman"/>
                <w:b/>
              </w:rPr>
              <w:t>26</w:t>
            </w:r>
          </w:hyperlink>
        </w:p>
        <w:p>
          <w:pPr>
            <w:pStyle w:val="TOC1"/>
            <w:numPr>
              <w:ilvl w:val="0"/>
              <w:numId w:val="1"/>
            </w:numPr>
            <w:tabs>
              <w:tab w:pos="1035" w:val="left" w:leader="none"/>
              <w:tab w:pos="9146" w:val="right" w:leader="dot"/>
            </w:tabs>
            <w:spacing w:line="432" w:lineRule="exact" w:before="0" w:after="0"/>
            <w:ind w:left="1034" w:right="0" w:hanging="420"/>
            <w:jc w:val="left"/>
            <w:rPr>
              <w:rFonts w:ascii="Times New Roman" w:eastAsia="Times New Roman"/>
              <w:b/>
            </w:rPr>
          </w:pPr>
          <w:hyperlink w:history="true" w:anchor="_TOC_250001">
            <w:r>
              <w:rPr/>
              <w:t>调查结论与建议</w:t>
              <w:tab/>
            </w:r>
            <w:r>
              <w:rPr>
                <w:rFonts w:ascii="Times New Roman" w:eastAsia="Times New Roman"/>
                <w:b/>
              </w:rPr>
              <w:t>26</w:t>
            </w:r>
          </w:hyperlink>
        </w:p>
        <w:p>
          <w:pPr>
            <w:pStyle w:val="TOC2"/>
            <w:numPr>
              <w:ilvl w:val="0"/>
              <w:numId w:val="1"/>
            </w:numPr>
            <w:tabs>
              <w:tab w:pos="1035" w:val="left" w:leader="none"/>
              <w:tab w:pos="9146" w:val="right" w:leader="dot"/>
            </w:tabs>
            <w:spacing w:line="432" w:lineRule="exact" w:before="0" w:after="0"/>
            <w:ind w:left="1034" w:right="0" w:hanging="420"/>
            <w:jc w:val="left"/>
            <w:rPr>
              <w:rFonts w:ascii="Times New Roman" w:eastAsia="Times New Roman"/>
              <w:i w:val="0"/>
              <w:sz w:val="24"/>
            </w:rPr>
          </w:pPr>
          <w:hyperlink w:history="true" w:anchor="_TOC_250000">
            <w:r>
              <w:rPr>
                <w:b w:val="0"/>
                <w:i w:val="0"/>
                <w:sz w:val="24"/>
              </w:rPr>
              <w:t>附件与附图</w:t>
              <w:tab/>
            </w:r>
            <w:r>
              <w:rPr>
                <w:rFonts w:ascii="Times New Roman" w:eastAsia="Times New Roman"/>
                <w:i w:val="0"/>
                <w:sz w:val="24"/>
              </w:rPr>
              <w:t>29</w:t>
            </w:r>
          </w:hyperlink>
        </w:p>
        <w:p>
          <w:pPr>
            <w:pStyle w:val="TOC3"/>
            <w:numPr>
              <w:ilvl w:val="1"/>
              <w:numId w:val="1"/>
            </w:numPr>
            <w:tabs>
              <w:tab w:pos="1350" w:val="left" w:leader="none"/>
              <w:tab w:pos="9088" w:val="right" w:leader="dot"/>
            </w:tabs>
            <w:spacing w:line="432" w:lineRule="exact" w:before="0" w:after="0"/>
            <w:ind w:left="1349" w:right="0" w:hanging="523"/>
            <w:jc w:val="left"/>
            <w:rPr>
              <w:rFonts w:ascii="Times New Roman" w:eastAsia="Times New Roman"/>
            </w:rPr>
          </w:pPr>
          <w:r>
            <w:rPr/>
            <w:t>附件</w:t>
          </w:r>
          <w:r>
            <w:rPr>
              <w:spacing w:val="6"/>
            </w:rPr>
            <w:t> </w:t>
          </w:r>
          <w:r>
            <w:rPr>
              <w:rFonts w:ascii="Times New Roman" w:eastAsia="Times New Roman"/>
            </w:rPr>
            <w:t>1</w:t>
          </w:r>
          <w:r>
            <w:rPr>
              <w:rFonts w:ascii="Times New Roman" w:eastAsia="Times New Roman"/>
              <w:spacing w:val="60"/>
            </w:rPr>
            <w:t> </w:t>
          </w:r>
          <w:r>
            <w:rPr/>
            <w:t>立项批复</w:t>
            <w:tab/>
          </w:r>
          <w:r>
            <w:rPr>
              <w:rFonts w:ascii="Times New Roman" w:eastAsia="Times New Roman"/>
            </w:rPr>
            <w:t>29</w:t>
          </w:r>
        </w:p>
        <w:p>
          <w:pPr>
            <w:pStyle w:val="TOC3"/>
            <w:numPr>
              <w:ilvl w:val="1"/>
              <w:numId w:val="1"/>
            </w:numPr>
            <w:tabs>
              <w:tab w:pos="1350" w:val="left" w:leader="none"/>
              <w:tab w:pos="9088" w:val="right" w:leader="dot"/>
            </w:tabs>
            <w:spacing w:line="432" w:lineRule="exact" w:before="0" w:after="0"/>
            <w:ind w:left="1349" w:right="0" w:hanging="523"/>
            <w:jc w:val="left"/>
            <w:rPr>
              <w:rFonts w:ascii="Times New Roman" w:eastAsia="Times New Roman"/>
            </w:rPr>
          </w:pPr>
          <w:r>
            <w:rPr/>
            <w:t>附件</w:t>
          </w:r>
          <w:r>
            <w:rPr>
              <w:spacing w:val="6"/>
            </w:rPr>
            <w:t> </w:t>
          </w:r>
          <w:r>
            <w:rPr>
              <w:rFonts w:ascii="Times New Roman" w:eastAsia="Times New Roman"/>
            </w:rPr>
            <w:t>2</w:t>
          </w:r>
          <w:r>
            <w:rPr>
              <w:rFonts w:ascii="Times New Roman" w:eastAsia="Times New Roman"/>
              <w:spacing w:val="60"/>
            </w:rPr>
            <w:t> </w:t>
          </w:r>
          <w:r>
            <w:rPr/>
            <w:t>环评批复</w:t>
            <w:tab/>
          </w:r>
          <w:r>
            <w:rPr>
              <w:rFonts w:ascii="Times New Roman" w:eastAsia="Times New Roman"/>
            </w:rPr>
            <w:t>32</w:t>
          </w:r>
        </w:p>
        <w:p>
          <w:pPr>
            <w:pStyle w:val="TOC3"/>
            <w:numPr>
              <w:ilvl w:val="1"/>
              <w:numId w:val="1"/>
            </w:numPr>
            <w:tabs>
              <w:tab w:pos="1350" w:val="left" w:leader="none"/>
              <w:tab w:pos="9088" w:val="right" w:leader="dot"/>
            </w:tabs>
            <w:spacing w:line="432" w:lineRule="exact" w:before="0" w:after="0"/>
            <w:ind w:left="1349" w:right="0" w:hanging="523"/>
            <w:jc w:val="left"/>
            <w:rPr>
              <w:rFonts w:ascii="Times New Roman" w:eastAsia="Times New Roman"/>
            </w:rPr>
          </w:pPr>
          <w:r>
            <w:rPr/>
            <w:t>附件</w:t>
          </w:r>
          <w:r>
            <w:rPr>
              <w:spacing w:val="6"/>
            </w:rPr>
            <w:t> </w:t>
          </w:r>
          <w:r>
            <w:rPr>
              <w:rFonts w:ascii="Times New Roman" w:eastAsia="Times New Roman"/>
            </w:rPr>
            <w:t>3</w:t>
          </w:r>
          <w:r>
            <w:rPr>
              <w:rFonts w:ascii="Times New Roman" w:eastAsia="Times New Roman"/>
              <w:spacing w:val="60"/>
            </w:rPr>
            <w:t> </w:t>
          </w:r>
          <w:r>
            <w:rPr/>
            <w:t>工程规划许可证</w:t>
            <w:tab/>
          </w:r>
          <w:r>
            <w:rPr>
              <w:rFonts w:ascii="Times New Roman" w:eastAsia="Times New Roman"/>
            </w:rPr>
            <w:t>35</w:t>
          </w:r>
        </w:p>
        <w:p>
          <w:pPr>
            <w:pStyle w:val="TOC3"/>
            <w:numPr>
              <w:ilvl w:val="1"/>
              <w:numId w:val="1"/>
            </w:numPr>
            <w:tabs>
              <w:tab w:pos="1350" w:val="left" w:leader="none"/>
              <w:tab w:pos="9088" w:val="right" w:leader="dot"/>
            </w:tabs>
            <w:spacing w:line="432" w:lineRule="exact" w:before="0" w:after="0"/>
            <w:ind w:left="1349" w:right="0" w:hanging="523"/>
            <w:jc w:val="left"/>
            <w:rPr>
              <w:rFonts w:ascii="Times New Roman" w:eastAsia="Times New Roman"/>
            </w:rPr>
          </w:pPr>
          <w:r>
            <w:rPr/>
            <w:t>附件</w:t>
          </w:r>
          <w:r>
            <w:rPr>
              <w:spacing w:val="6"/>
            </w:rPr>
            <w:t> </w:t>
          </w:r>
          <w:r>
            <w:rPr>
              <w:rFonts w:ascii="Times New Roman" w:eastAsia="Times New Roman"/>
            </w:rPr>
            <w:t>4</w:t>
          </w:r>
          <w:r>
            <w:rPr>
              <w:rFonts w:ascii="Times New Roman" w:eastAsia="Times New Roman"/>
              <w:spacing w:val="60"/>
            </w:rPr>
            <w:t> </w:t>
          </w:r>
          <w:r>
            <w:rPr/>
            <w:t>工程施工许可证</w:t>
            <w:tab/>
          </w:r>
          <w:r>
            <w:rPr>
              <w:rFonts w:ascii="Times New Roman" w:eastAsia="Times New Roman"/>
            </w:rPr>
            <w:t>36</w:t>
          </w:r>
        </w:p>
        <w:p>
          <w:pPr>
            <w:pStyle w:val="TOC3"/>
            <w:numPr>
              <w:ilvl w:val="1"/>
              <w:numId w:val="1"/>
            </w:numPr>
            <w:tabs>
              <w:tab w:pos="1350" w:val="left" w:leader="none"/>
              <w:tab w:pos="9088" w:val="right" w:leader="dot"/>
            </w:tabs>
            <w:spacing w:line="432" w:lineRule="exact" w:before="0" w:after="0"/>
            <w:ind w:left="1349" w:right="0" w:hanging="523"/>
            <w:jc w:val="left"/>
            <w:rPr>
              <w:rFonts w:ascii="Times New Roman" w:eastAsia="Times New Roman"/>
            </w:rPr>
          </w:pPr>
          <w:r>
            <w:rPr/>
            <w:t>附件</w:t>
          </w:r>
          <w:r>
            <w:rPr>
              <w:spacing w:val="6"/>
            </w:rPr>
            <w:t> </w:t>
          </w:r>
          <w:r>
            <w:rPr>
              <w:rFonts w:ascii="Times New Roman" w:eastAsia="Times New Roman"/>
            </w:rPr>
            <w:t>6</w:t>
          </w:r>
          <w:r>
            <w:rPr>
              <w:rFonts w:ascii="Times New Roman" w:eastAsia="Times New Roman"/>
              <w:spacing w:val="60"/>
            </w:rPr>
            <w:t> </w:t>
          </w:r>
          <w:r>
            <w:rPr/>
            <w:t>监测方案</w:t>
            <w:tab/>
          </w:r>
          <w:r>
            <w:rPr>
              <w:rFonts w:ascii="Times New Roman" w:eastAsia="Times New Roman"/>
            </w:rPr>
            <w:t>39</w:t>
          </w:r>
        </w:p>
        <w:p>
          <w:pPr>
            <w:pStyle w:val="TOC3"/>
            <w:numPr>
              <w:ilvl w:val="1"/>
              <w:numId w:val="1"/>
            </w:numPr>
            <w:tabs>
              <w:tab w:pos="1350" w:val="left" w:leader="none"/>
              <w:tab w:pos="9088" w:val="right" w:leader="dot"/>
            </w:tabs>
            <w:spacing w:line="432" w:lineRule="exact" w:before="0" w:after="0"/>
            <w:ind w:left="1349" w:right="0" w:hanging="523"/>
            <w:jc w:val="left"/>
            <w:rPr>
              <w:rFonts w:ascii="Times New Roman" w:eastAsia="Times New Roman"/>
            </w:rPr>
          </w:pPr>
          <w:r>
            <w:rPr/>
            <w:t>附件</w:t>
          </w:r>
          <w:r>
            <w:rPr>
              <w:spacing w:val="6"/>
            </w:rPr>
            <w:t> </w:t>
          </w:r>
          <w:r>
            <w:rPr>
              <w:rFonts w:ascii="Times New Roman" w:eastAsia="Times New Roman"/>
            </w:rPr>
            <w:t>7</w:t>
          </w:r>
          <w:r>
            <w:rPr>
              <w:rFonts w:ascii="Times New Roman" w:eastAsia="Times New Roman"/>
              <w:spacing w:val="60"/>
            </w:rPr>
            <w:t> </w:t>
          </w:r>
          <w:r>
            <w:rPr/>
            <w:t>监测报告</w:t>
            <w:tab/>
          </w:r>
          <w:r>
            <w:rPr>
              <w:rFonts w:ascii="Times New Roman" w:eastAsia="Times New Roman"/>
            </w:rPr>
            <w:t>40</w:t>
          </w:r>
        </w:p>
        <w:p>
          <w:pPr>
            <w:pStyle w:val="TOC3"/>
            <w:numPr>
              <w:ilvl w:val="1"/>
              <w:numId w:val="1"/>
            </w:numPr>
            <w:tabs>
              <w:tab w:pos="1350" w:val="left" w:leader="none"/>
              <w:tab w:pos="9088" w:val="right" w:leader="dot"/>
            </w:tabs>
            <w:spacing w:line="432" w:lineRule="exact" w:before="0" w:after="0"/>
            <w:ind w:left="1349" w:right="0" w:hanging="523"/>
            <w:jc w:val="left"/>
            <w:rPr>
              <w:rFonts w:ascii="Times New Roman" w:eastAsia="Times New Roman"/>
            </w:rPr>
          </w:pPr>
          <w:r>
            <w:rPr/>
            <w:t>附图</w:t>
          </w:r>
          <w:r>
            <w:rPr>
              <w:spacing w:val="6"/>
            </w:rPr>
            <w:t> </w:t>
          </w:r>
          <w:r>
            <w:rPr>
              <w:rFonts w:ascii="Times New Roman" w:eastAsia="Times New Roman"/>
            </w:rPr>
            <w:t>1</w:t>
          </w:r>
          <w:r>
            <w:rPr>
              <w:rFonts w:ascii="Times New Roman" w:eastAsia="Times New Roman"/>
              <w:spacing w:val="60"/>
            </w:rPr>
            <w:t> </w:t>
          </w:r>
          <w:r>
            <w:rPr/>
            <w:t>地理位置示意图</w:t>
            <w:tab/>
          </w:r>
          <w:r>
            <w:rPr>
              <w:rFonts w:ascii="Times New Roman" w:eastAsia="Times New Roman"/>
            </w:rPr>
            <w:t>44</w:t>
          </w:r>
        </w:p>
        <w:p>
          <w:pPr>
            <w:pStyle w:val="TOC3"/>
            <w:numPr>
              <w:ilvl w:val="1"/>
              <w:numId w:val="1"/>
            </w:numPr>
            <w:tabs>
              <w:tab w:pos="1350" w:val="left" w:leader="none"/>
              <w:tab w:pos="9088" w:val="right" w:leader="dot"/>
            </w:tabs>
            <w:spacing w:line="470" w:lineRule="exact" w:before="0" w:after="0"/>
            <w:ind w:left="1349" w:right="0" w:hanging="523"/>
            <w:jc w:val="left"/>
            <w:rPr>
              <w:rFonts w:ascii="Times New Roman" w:eastAsia="Times New Roman"/>
            </w:rPr>
          </w:pPr>
          <w:r>
            <w:rPr/>
            <w:t>附图</w:t>
          </w:r>
          <w:r>
            <w:rPr>
              <w:spacing w:val="6"/>
            </w:rPr>
            <w:t> </w:t>
          </w:r>
          <w:r>
            <w:rPr>
              <w:rFonts w:ascii="Times New Roman" w:eastAsia="Times New Roman"/>
            </w:rPr>
            <w:t>2</w:t>
          </w:r>
          <w:r>
            <w:rPr>
              <w:rFonts w:ascii="Times New Roman" w:eastAsia="Times New Roman"/>
              <w:spacing w:val="60"/>
            </w:rPr>
            <w:t> </w:t>
          </w:r>
          <w:r>
            <w:rPr/>
            <w:t>总平面布置图</w:t>
            <w:tab/>
          </w:r>
          <w:r>
            <w:rPr>
              <w:rFonts w:ascii="Times New Roman" w:eastAsia="Times New Roman"/>
            </w:rPr>
            <w:t>46</w:t>
          </w:r>
        </w:p>
      </w:sdtContent>
    </w:sdt>
    <w:p>
      <w:pPr>
        <w:spacing w:after="0" w:line="470" w:lineRule="exact"/>
        <w:jc w:val="left"/>
        <w:rPr>
          <w:rFonts w:ascii="Times New Roman" w:eastAsia="Times New Roman"/>
        </w:rPr>
        <w:sectPr>
          <w:pgSz w:w="11910" w:h="16840"/>
          <w:pgMar w:top="1500" w:bottom="280" w:left="1200" w:right="1340"/>
        </w:sectPr>
      </w:pPr>
    </w:p>
    <w:p>
      <w:pPr>
        <w:spacing w:line="641" w:lineRule="exact" w:before="0"/>
        <w:ind w:left="4484" w:right="0" w:firstLine="0"/>
        <w:jc w:val="left"/>
        <w:rPr>
          <w:sz w:val="32"/>
        </w:rPr>
      </w:pPr>
      <w:r>
        <w:rPr>
          <w:sz w:val="32"/>
        </w:rPr>
        <w:t>前言</w:t>
      </w:r>
    </w:p>
    <w:p>
      <w:pPr>
        <w:pStyle w:val="BodyText"/>
        <w:spacing w:line="252" w:lineRule="auto"/>
        <w:ind w:left="600" w:right="448" w:firstLine="424"/>
        <w:jc w:val="both"/>
      </w:pPr>
      <w:r>
        <w:rPr/>
        <w:t>本项目是由宁波华茂教育文化投资有限公司开发建设的“东钱湖国际教育论坛”项目   </w:t>
      </w:r>
      <w:r>
        <w:rPr>
          <w:spacing w:val="-10"/>
        </w:rPr>
        <w:t>二期，建设内容为“博物馆”。本项目地块位于东钱湖旅游度假区连心路Ⅲ地块。项目实际  </w:t>
      </w:r>
      <w:r>
        <w:rPr>
          <w:spacing w:val="-6"/>
          <w:w w:val="105"/>
        </w:rPr>
        <w:t>总投资约</w:t>
      </w:r>
      <w:r>
        <w:rPr>
          <w:rFonts w:ascii="Times New Roman" w:hAnsi="Times New Roman" w:eastAsia="Times New Roman"/>
          <w:w w:val="105"/>
        </w:rPr>
        <w:t>12000</w:t>
      </w:r>
      <w:r>
        <w:rPr>
          <w:spacing w:val="-3"/>
          <w:w w:val="105"/>
        </w:rPr>
        <w:t>万元，占地面积</w:t>
      </w:r>
      <w:r>
        <w:rPr>
          <w:rFonts w:ascii="Times New Roman" w:hAnsi="Times New Roman" w:eastAsia="Times New Roman"/>
          <w:w w:val="105"/>
        </w:rPr>
        <w:t>8050.21 m</w:t>
      </w:r>
      <w:r>
        <w:rPr>
          <w:rFonts w:ascii="Times New Roman" w:hAnsi="Times New Roman" w:eastAsia="Times New Roman"/>
          <w:w w:val="105"/>
          <w:vertAlign w:val="superscript"/>
        </w:rPr>
        <w:t>2</w:t>
      </w:r>
      <w:r>
        <w:rPr>
          <w:spacing w:val="-2"/>
          <w:w w:val="105"/>
          <w:vertAlign w:val="baseline"/>
        </w:rPr>
        <w:t>，总建筑面积约</w:t>
      </w:r>
      <w:r>
        <w:rPr>
          <w:rFonts w:ascii="Times New Roman" w:hAnsi="Times New Roman" w:eastAsia="Times New Roman"/>
          <w:w w:val="105"/>
          <w:vertAlign w:val="baseline"/>
        </w:rPr>
        <w:t>6268.05 m</w:t>
      </w:r>
      <w:r>
        <w:rPr>
          <w:rFonts w:ascii="Times New Roman" w:hAnsi="Times New Roman" w:eastAsia="Times New Roman"/>
          <w:w w:val="105"/>
          <w:vertAlign w:val="superscript"/>
        </w:rPr>
        <w:t>2</w:t>
      </w:r>
      <w:r>
        <w:rPr>
          <w:w w:val="105"/>
          <w:vertAlign w:val="baseline"/>
        </w:rPr>
        <w:t>。</w:t>
      </w:r>
    </w:p>
    <w:p>
      <w:pPr>
        <w:pStyle w:val="BodyText"/>
        <w:spacing w:line="252" w:lineRule="auto"/>
        <w:ind w:left="600" w:right="451" w:firstLine="424"/>
        <w:jc w:val="both"/>
      </w:pPr>
      <w:r>
        <w:rPr/>
        <w:t>本项目环境影响报告书于</w:t>
      </w:r>
      <w:r>
        <w:rPr>
          <w:rFonts w:ascii="Times New Roman" w:eastAsia="Times New Roman"/>
        </w:rPr>
        <w:t>2011</w:t>
      </w:r>
      <w:r>
        <w:rPr/>
        <w:t>年</w:t>
      </w:r>
      <w:r>
        <w:rPr>
          <w:rFonts w:ascii="Times New Roman" w:eastAsia="Times New Roman"/>
        </w:rPr>
        <w:t>3</w:t>
      </w:r>
      <w:r>
        <w:rPr/>
        <w:t>月由宁波市环境保护科学研究设计院编制完成，</w:t>
      </w:r>
      <w:r>
        <w:rPr>
          <w:rFonts w:ascii="Times New Roman" w:eastAsia="Times New Roman"/>
        </w:rPr>
        <w:t>2011 </w:t>
      </w:r>
      <w:r>
        <w:rPr/>
        <w:t>年</w:t>
      </w:r>
      <w:r>
        <w:rPr>
          <w:rFonts w:ascii="Times New Roman" w:eastAsia="Times New Roman"/>
        </w:rPr>
        <w:t>4</w:t>
      </w:r>
      <w:r>
        <w:rPr/>
        <w:t>月</w:t>
      </w:r>
      <w:r>
        <w:rPr>
          <w:rFonts w:ascii="Times New Roman" w:eastAsia="Times New Roman"/>
        </w:rPr>
        <w:t>16</w:t>
      </w:r>
      <w:r>
        <w:rPr/>
        <w:t>日宁波东钱湖旅游度假区环境保护局对该项目环境影响报告书进行了批复，文号为甬东旅环发</w:t>
      </w:r>
      <w:r>
        <w:rPr>
          <w:rFonts w:ascii="Times New Roman" w:eastAsia="Times New Roman"/>
        </w:rPr>
        <w:t>[2011]2</w:t>
      </w:r>
      <w:r>
        <w:rPr/>
        <w:t>号。</w:t>
      </w:r>
      <w:r>
        <w:rPr>
          <w:rFonts w:ascii="Times New Roman" w:eastAsia="Times New Roman"/>
        </w:rPr>
        <w:t>2016</w:t>
      </w:r>
      <w:r>
        <w:rPr/>
        <w:t>年</w:t>
      </w:r>
      <w:r>
        <w:rPr>
          <w:rFonts w:ascii="Times New Roman" w:eastAsia="Times New Roman"/>
        </w:rPr>
        <w:t>5</w:t>
      </w:r>
      <w:r>
        <w:rPr/>
        <w:t>月</w:t>
      </w:r>
      <w:r>
        <w:rPr>
          <w:rFonts w:ascii="Times New Roman" w:eastAsia="Times New Roman"/>
        </w:rPr>
        <w:t>5</w:t>
      </w:r>
      <w:r>
        <w:rPr/>
        <w:t>日取得本项目建设工程规划许可证。</w:t>
      </w:r>
    </w:p>
    <w:p>
      <w:pPr>
        <w:pStyle w:val="BodyText"/>
        <w:ind w:left="1025"/>
      </w:pPr>
      <w:r>
        <w:rPr/>
        <w:t>本项目于</w:t>
      </w:r>
      <w:r>
        <w:rPr>
          <w:rFonts w:ascii="Times New Roman" w:eastAsia="Times New Roman"/>
        </w:rPr>
        <w:t>2017</w:t>
      </w:r>
      <w:r>
        <w:rPr/>
        <w:t>年开工，</w:t>
      </w:r>
      <w:r>
        <w:rPr>
          <w:rFonts w:ascii="Times New Roman" w:eastAsia="Times New Roman"/>
        </w:rPr>
        <w:t>2019</w:t>
      </w:r>
      <w:r>
        <w:rPr/>
        <w:t>年完工。</w:t>
      </w:r>
    </w:p>
    <w:p>
      <w:pPr>
        <w:spacing w:after="0"/>
        <w:sectPr>
          <w:headerReference w:type="default" r:id="rId5"/>
          <w:footerReference w:type="default" r:id="rId6"/>
          <w:pgSz w:w="11910" w:h="16840"/>
          <w:pgMar w:header="877" w:footer="1146" w:top="1420" w:bottom="1340" w:left="1200" w:right="1340"/>
          <w:pgNumType w:start="1"/>
        </w:sectPr>
      </w:pPr>
    </w:p>
    <w:p>
      <w:pPr>
        <w:pStyle w:val="Heading1"/>
        <w:numPr>
          <w:ilvl w:val="0"/>
          <w:numId w:val="2"/>
        </w:numPr>
        <w:tabs>
          <w:tab w:pos="1020" w:val="left" w:leader="none"/>
          <w:tab w:pos="1021" w:val="left" w:leader="none"/>
        </w:tabs>
        <w:spacing w:line="645" w:lineRule="exact" w:before="0" w:after="0"/>
        <w:ind w:left="1020" w:right="0" w:hanging="420"/>
        <w:jc w:val="left"/>
        <w:rPr>
          <w:rFonts w:ascii="Noto Sans CJK JP Regular" w:eastAsia="Noto Sans CJK JP Regular" w:hint="eastAsia"/>
        </w:rPr>
      </w:pPr>
      <w:bookmarkStart w:name="_TOC_250010" w:id="1"/>
      <w:bookmarkEnd w:id="1"/>
      <w:r>
        <w:rPr>
          <w:rFonts w:ascii="Noto Sans CJK JP Regular" w:eastAsia="Noto Sans CJK JP Regular" w:hint="eastAsia"/>
        </w:rPr>
        <w:t>项目总体情况</w:t>
      </w:r>
    </w:p>
    <w:tbl>
      <w:tblPr>
        <w:tblW w:w="0" w:type="auto"/>
        <w:jc w:val="left"/>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5"/>
        <w:gridCol w:w="1418"/>
        <w:gridCol w:w="705"/>
        <w:gridCol w:w="477"/>
        <w:gridCol w:w="1082"/>
        <w:gridCol w:w="991"/>
        <w:gridCol w:w="1216"/>
      </w:tblGrid>
      <w:tr>
        <w:trPr>
          <w:trHeight w:val="371" w:hRule="atLeast"/>
        </w:trPr>
        <w:tc>
          <w:tcPr>
            <w:tcW w:w="2405" w:type="dxa"/>
          </w:tcPr>
          <w:p>
            <w:pPr>
              <w:pStyle w:val="TableParagraph"/>
              <w:spacing w:line="352" w:lineRule="exact"/>
              <w:ind w:left="132" w:right="123"/>
              <w:jc w:val="center"/>
              <w:rPr>
                <w:sz w:val="21"/>
              </w:rPr>
            </w:pPr>
            <w:r>
              <w:rPr>
                <w:sz w:val="21"/>
              </w:rPr>
              <w:t>建设项目名称</w:t>
            </w:r>
          </w:p>
        </w:tc>
        <w:tc>
          <w:tcPr>
            <w:tcW w:w="5889" w:type="dxa"/>
            <w:gridSpan w:val="6"/>
          </w:tcPr>
          <w:p>
            <w:pPr>
              <w:pStyle w:val="TableParagraph"/>
              <w:spacing w:line="352" w:lineRule="exact"/>
              <w:ind w:left="1264"/>
              <w:rPr>
                <w:sz w:val="21"/>
              </w:rPr>
            </w:pPr>
            <w:r>
              <w:rPr>
                <w:sz w:val="21"/>
              </w:rPr>
              <w:t>东钱湖国际教育论坛项目（博物馆）</w:t>
            </w:r>
          </w:p>
        </w:tc>
      </w:tr>
      <w:tr>
        <w:trPr>
          <w:trHeight w:val="371" w:hRule="atLeast"/>
        </w:trPr>
        <w:tc>
          <w:tcPr>
            <w:tcW w:w="2405" w:type="dxa"/>
          </w:tcPr>
          <w:p>
            <w:pPr>
              <w:pStyle w:val="TableParagraph"/>
              <w:spacing w:line="352" w:lineRule="exact"/>
              <w:ind w:left="132" w:right="121"/>
              <w:jc w:val="center"/>
              <w:rPr>
                <w:sz w:val="21"/>
              </w:rPr>
            </w:pPr>
            <w:r>
              <w:rPr>
                <w:sz w:val="21"/>
              </w:rPr>
              <w:t>建设单位</w:t>
            </w:r>
          </w:p>
        </w:tc>
        <w:tc>
          <w:tcPr>
            <w:tcW w:w="5889" w:type="dxa"/>
            <w:gridSpan w:val="6"/>
          </w:tcPr>
          <w:p>
            <w:pPr>
              <w:pStyle w:val="TableParagraph"/>
              <w:spacing w:line="352" w:lineRule="exact"/>
              <w:ind w:left="1473"/>
              <w:rPr>
                <w:sz w:val="21"/>
              </w:rPr>
            </w:pPr>
            <w:r>
              <w:rPr>
                <w:sz w:val="21"/>
              </w:rPr>
              <w:t>宁波华茂教育文化投资有限公司</w:t>
            </w:r>
          </w:p>
        </w:tc>
      </w:tr>
      <w:tr>
        <w:trPr>
          <w:trHeight w:val="371" w:hRule="atLeast"/>
        </w:trPr>
        <w:tc>
          <w:tcPr>
            <w:tcW w:w="2405" w:type="dxa"/>
          </w:tcPr>
          <w:p>
            <w:pPr>
              <w:pStyle w:val="TableParagraph"/>
              <w:spacing w:line="352" w:lineRule="exact"/>
              <w:ind w:left="132" w:right="121"/>
              <w:jc w:val="center"/>
              <w:rPr>
                <w:sz w:val="21"/>
              </w:rPr>
            </w:pPr>
            <w:r>
              <w:rPr>
                <w:sz w:val="21"/>
              </w:rPr>
              <w:t>法人代表</w:t>
            </w:r>
          </w:p>
        </w:tc>
        <w:tc>
          <w:tcPr>
            <w:tcW w:w="2600" w:type="dxa"/>
            <w:gridSpan w:val="3"/>
          </w:tcPr>
          <w:p>
            <w:pPr>
              <w:pStyle w:val="TableParagraph"/>
              <w:spacing w:line="352" w:lineRule="exact"/>
              <w:ind w:left="965" w:right="954"/>
              <w:jc w:val="center"/>
              <w:rPr>
                <w:sz w:val="21"/>
              </w:rPr>
            </w:pPr>
            <w:r>
              <w:rPr>
                <w:sz w:val="21"/>
              </w:rPr>
              <w:t>徐万茂</w:t>
            </w:r>
          </w:p>
        </w:tc>
        <w:tc>
          <w:tcPr>
            <w:tcW w:w="1082" w:type="dxa"/>
          </w:tcPr>
          <w:p>
            <w:pPr>
              <w:pStyle w:val="TableParagraph"/>
              <w:spacing w:line="352" w:lineRule="exact"/>
              <w:ind w:left="103" w:right="86"/>
              <w:jc w:val="center"/>
              <w:rPr>
                <w:sz w:val="21"/>
              </w:rPr>
            </w:pPr>
            <w:r>
              <w:rPr>
                <w:sz w:val="21"/>
              </w:rPr>
              <w:t>联系人</w:t>
            </w:r>
          </w:p>
        </w:tc>
        <w:tc>
          <w:tcPr>
            <w:tcW w:w="2207" w:type="dxa"/>
            <w:gridSpan w:val="2"/>
          </w:tcPr>
          <w:p>
            <w:pPr>
              <w:pStyle w:val="TableParagraph"/>
              <w:spacing w:line="352" w:lineRule="exact"/>
              <w:ind w:left="771" w:right="755"/>
              <w:jc w:val="center"/>
              <w:rPr>
                <w:sz w:val="21"/>
              </w:rPr>
            </w:pPr>
            <w:r>
              <w:rPr>
                <w:sz w:val="21"/>
              </w:rPr>
              <w:t>毛宏伟</w:t>
            </w:r>
          </w:p>
        </w:tc>
      </w:tr>
      <w:tr>
        <w:trPr>
          <w:trHeight w:val="374" w:hRule="atLeast"/>
        </w:trPr>
        <w:tc>
          <w:tcPr>
            <w:tcW w:w="2405" w:type="dxa"/>
          </w:tcPr>
          <w:p>
            <w:pPr>
              <w:pStyle w:val="TableParagraph"/>
              <w:spacing w:line="354" w:lineRule="exact"/>
              <w:ind w:left="132" w:right="121"/>
              <w:jc w:val="center"/>
              <w:rPr>
                <w:sz w:val="21"/>
              </w:rPr>
            </w:pPr>
            <w:r>
              <w:rPr>
                <w:sz w:val="21"/>
              </w:rPr>
              <w:t>通信地址</w:t>
            </w:r>
          </w:p>
        </w:tc>
        <w:tc>
          <w:tcPr>
            <w:tcW w:w="5889" w:type="dxa"/>
            <w:gridSpan w:val="6"/>
          </w:tcPr>
          <w:p>
            <w:pPr>
              <w:pStyle w:val="TableParagraph"/>
              <w:spacing w:line="354" w:lineRule="exact"/>
              <w:ind w:left="1528"/>
              <w:rPr>
                <w:sz w:val="21"/>
              </w:rPr>
            </w:pPr>
            <w:r>
              <w:rPr>
                <w:sz w:val="21"/>
              </w:rPr>
              <w:t>东钱湖旅游度假区连心路 </w:t>
            </w:r>
            <w:r>
              <w:rPr>
                <w:rFonts w:ascii="Times New Roman" w:eastAsia="Times New Roman"/>
                <w:sz w:val="21"/>
              </w:rPr>
              <w:t>99 </w:t>
            </w:r>
            <w:r>
              <w:rPr>
                <w:sz w:val="21"/>
              </w:rPr>
              <w:t>号</w:t>
            </w:r>
          </w:p>
        </w:tc>
      </w:tr>
      <w:tr>
        <w:trPr>
          <w:trHeight w:val="371" w:hRule="atLeast"/>
        </w:trPr>
        <w:tc>
          <w:tcPr>
            <w:tcW w:w="2405" w:type="dxa"/>
          </w:tcPr>
          <w:p>
            <w:pPr>
              <w:pStyle w:val="TableParagraph"/>
              <w:spacing w:line="352" w:lineRule="exact"/>
              <w:ind w:left="132" w:right="121"/>
              <w:jc w:val="center"/>
              <w:rPr>
                <w:sz w:val="21"/>
              </w:rPr>
            </w:pPr>
            <w:r>
              <w:rPr>
                <w:sz w:val="21"/>
              </w:rPr>
              <w:t>联系电话</w:t>
            </w:r>
          </w:p>
        </w:tc>
        <w:tc>
          <w:tcPr>
            <w:tcW w:w="1418" w:type="dxa"/>
          </w:tcPr>
          <w:p>
            <w:pPr>
              <w:pStyle w:val="TableParagraph"/>
              <w:spacing w:before="88"/>
              <w:ind w:left="113" w:right="100"/>
              <w:jc w:val="center"/>
              <w:rPr>
                <w:rFonts w:ascii="Times New Roman"/>
                <w:sz w:val="21"/>
              </w:rPr>
            </w:pPr>
            <w:r>
              <w:rPr>
                <w:rFonts w:ascii="Times New Roman"/>
                <w:sz w:val="21"/>
              </w:rPr>
              <w:t>18057458058</w:t>
            </w:r>
          </w:p>
        </w:tc>
        <w:tc>
          <w:tcPr>
            <w:tcW w:w="1182" w:type="dxa"/>
            <w:gridSpan w:val="2"/>
          </w:tcPr>
          <w:p>
            <w:pPr>
              <w:pStyle w:val="TableParagraph"/>
              <w:spacing w:line="352" w:lineRule="exact"/>
              <w:ind w:left="382"/>
              <w:rPr>
                <w:sz w:val="21"/>
              </w:rPr>
            </w:pPr>
            <w:r>
              <w:rPr>
                <w:sz w:val="21"/>
              </w:rPr>
              <w:t>传真</w:t>
            </w:r>
          </w:p>
        </w:tc>
        <w:tc>
          <w:tcPr>
            <w:tcW w:w="1082" w:type="dxa"/>
          </w:tcPr>
          <w:p>
            <w:pPr>
              <w:pStyle w:val="TableParagraph"/>
              <w:spacing w:before="88"/>
              <w:ind w:left="13"/>
              <w:jc w:val="center"/>
              <w:rPr>
                <w:rFonts w:ascii="Times New Roman"/>
                <w:sz w:val="21"/>
              </w:rPr>
            </w:pPr>
            <w:r>
              <w:rPr>
                <w:rFonts w:ascii="Times New Roman"/>
                <w:w w:val="100"/>
                <w:sz w:val="21"/>
              </w:rPr>
              <w:t>/</w:t>
            </w:r>
          </w:p>
        </w:tc>
        <w:tc>
          <w:tcPr>
            <w:tcW w:w="991" w:type="dxa"/>
          </w:tcPr>
          <w:p>
            <w:pPr>
              <w:pStyle w:val="TableParagraph"/>
              <w:spacing w:line="352" w:lineRule="exact"/>
              <w:ind w:left="269" w:right="252"/>
              <w:jc w:val="center"/>
              <w:rPr>
                <w:sz w:val="21"/>
              </w:rPr>
            </w:pPr>
            <w:r>
              <w:rPr>
                <w:sz w:val="21"/>
              </w:rPr>
              <w:t>邮编</w:t>
            </w:r>
          </w:p>
        </w:tc>
        <w:tc>
          <w:tcPr>
            <w:tcW w:w="1216" w:type="dxa"/>
          </w:tcPr>
          <w:p>
            <w:pPr>
              <w:pStyle w:val="TableParagraph"/>
              <w:spacing w:before="88"/>
              <w:ind w:left="277" w:right="258"/>
              <w:jc w:val="center"/>
              <w:rPr>
                <w:rFonts w:ascii="Times New Roman"/>
                <w:sz w:val="21"/>
              </w:rPr>
            </w:pPr>
            <w:r>
              <w:rPr>
                <w:rFonts w:ascii="Times New Roman"/>
                <w:sz w:val="21"/>
              </w:rPr>
              <w:t>315121</w:t>
            </w:r>
          </w:p>
        </w:tc>
      </w:tr>
      <w:tr>
        <w:trPr>
          <w:trHeight w:val="371" w:hRule="atLeast"/>
        </w:trPr>
        <w:tc>
          <w:tcPr>
            <w:tcW w:w="2405" w:type="dxa"/>
          </w:tcPr>
          <w:p>
            <w:pPr>
              <w:pStyle w:val="TableParagraph"/>
              <w:spacing w:line="352" w:lineRule="exact"/>
              <w:ind w:left="132" w:right="121"/>
              <w:jc w:val="center"/>
              <w:rPr>
                <w:sz w:val="21"/>
              </w:rPr>
            </w:pPr>
            <w:r>
              <w:rPr>
                <w:sz w:val="21"/>
              </w:rPr>
              <w:t>建设地点</w:t>
            </w:r>
          </w:p>
        </w:tc>
        <w:tc>
          <w:tcPr>
            <w:tcW w:w="5889" w:type="dxa"/>
            <w:gridSpan w:val="6"/>
          </w:tcPr>
          <w:p>
            <w:pPr>
              <w:pStyle w:val="TableParagraph"/>
              <w:spacing w:line="352" w:lineRule="exact"/>
              <w:ind w:left="1344"/>
              <w:rPr>
                <w:sz w:val="21"/>
              </w:rPr>
            </w:pPr>
            <w:r>
              <w:rPr>
                <w:sz w:val="21"/>
              </w:rPr>
              <w:t>慈溪市白沙路街道前应路南 </w:t>
            </w:r>
            <w:r>
              <w:rPr>
                <w:rFonts w:ascii="Times New Roman" w:eastAsia="Times New Roman"/>
                <w:sz w:val="21"/>
              </w:rPr>
              <w:t>2#</w:t>
            </w:r>
            <w:r>
              <w:rPr>
                <w:sz w:val="21"/>
              </w:rPr>
              <w:t>地块</w:t>
            </w:r>
          </w:p>
        </w:tc>
      </w:tr>
      <w:tr>
        <w:trPr>
          <w:trHeight w:val="371" w:hRule="atLeast"/>
        </w:trPr>
        <w:tc>
          <w:tcPr>
            <w:tcW w:w="2405" w:type="dxa"/>
          </w:tcPr>
          <w:p>
            <w:pPr>
              <w:pStyle w:val="TableParagraph"/>
              <w:spacing w:line="352" w:lineRule="exact"/>
              <w:ind w:left="132" w:right="121"/>
              <w:jc w:val="center"/>
              <w:rPr>
                <w:sz w:val="21"/>
              </w:rPr>
            </w:pPr>
            <w:r>
              <w:rPr>
                <w:sz w:val="21"/>
              </w:rPr>
              <w:t>项目性质</w:t>
            </w:r>
          </w:p>
        </w:tc>
        <w:tc>
          <w:tcPr>
            <w:tcW w:w="2600" w:type="dxa"/>
            <w:gridSpan w:val="3"/>
          </w:tcPr>
          <w:p>
            <w:pPr>
              <w:pStyle w:val="TableParagraph"/>
              <w:spacing w:line="352" w:lineRule="exact"/>
              <w:ind w:left="328"/>
              <w:rPr>
                <w:rFonts w:ascii="Times New Roman" w:hAnsi="Times New Roman" w:eastAsia="Times New Roman"/>
                <w:sz w:val="21"/>
              </w:rPr>
            </w:pPr>
            <w:r>
              <w:rPr>
                <w:sz w:val="21"/>
              </w:rPr>
              <w:t>新建</w:t>
            </w:r>
            <w:r>
              <w:rPr>
                <w:rFonts w:ascii="Times New Roman" w:hAnsi="Times New Roman" w:eastAsia="Times New Roman"/>
                <w:sz w:val="21"/>
              </w:rPr>
              <w:t>□</w:t>
            </w:r>
            <w:r>
              <w:rPr>
                <w:sz w:val="21"/>
              </w:rPr>
              <w:t>改扩建</w:t>
            </w:r>
            <w:r>
              <w:rPr>
                <w:rFonts w:ascii="Times New Roman" w:hAnsi="Times New Roman" w:eastAsia="Times New Roman"/>
                <w:sz w:val="21"/>
              </w:rPr>
              <w:t>√ </w:t>
            </w:r>
            <w:r>
              <w:rPr>
                <w:sz w:val="21"/>
              </w:rPr>
              <w:t>技改</w:t>
            </w:r>
            <w:r>
              <w:rPr>
                <w:rFonts w:ascii="Times New Roman" w:hAnsi="Times New Roman" w:eastAsia="Times New Roman"/>
                <w:sz w:val="21"/>
              </w:rPr>
              <w:t>□</w:t>
            </w:r>
          </w:p>
        </w:tc>
        <w:tc>
          <w:tcPr>
            <w:tcW w:w="1082" w:type="dxa"/>
          </w:tcPr>
          <w:p>
            <w:pPr>
              <w:pStyle w:val="TableParagraph"/>
              <w:spacing w:line="352" w:lineRule="exact"/>
              <w:ind w:left="103" w:right="89"/>
              <w:jc w:val="center"/>
              <w:rPr>
                <w:sz w:val="21"/>
              </w:rPr>
            </w:pPr>
            <w:r>
              <w:rPr>
                <w:sz w:val="21"/>
              </w:rPr>
              <w:t>行业类别</w:t>
            </w:r>
          </w:p>
        </w:tc>
        <w:tc>
          <w:tcPr>
            <w:tcW w:w="2207" w:type="dxa"/>
            <w:gridSpan w:val="2"/>
          </w:tcPr>
          <w:p>
            <w:pPr>
              <w:pStyle w:val="TableParagraph"/>
              <w:spacing w:line="352" w:lineRule="exact"/>
              <w:ind w:left="686"/>
              <w:rPr>
                <w:sz w:val="21"/>
              </w:rPr>
            </w:pPr>
            <w:r>
              <w:rPr>
                <w:sz w:val="21"/>
              </w:rPr>
              <w:t>房产行业</w:t>
            </w:r>
          </w:p>
        </w:tc>
      </w:tr>
      <w:tr>
        <w:trPr>
          <w:trHeight w:val="372" w:hRule="atLeast"/>
        </w:trPr>
        <w:tc>
          <w:tcPr>
            <w:tcW w:w="2405" w:type="dxa"/>
          </w:tcPr>
          <w:p>
            <w:pPr>
              <w:pStyle w:val="TableParagraph"/>
              <w:spacing w:line="352" w:lineRule="exact"/>
              <w:ind w:left="132" w:right="121"/>
              <w:jc w:val="center"/>
              <w:rPr>
                <w:sz w:val="21"/>
              </w:rPr>
            </w:pPr>
            <w:r>
              <w:rPr>
                <w:sz w:val="21"/>
              </w:rPr>
              <w:t>环境影响报告书名称</w:t>
            </w:r>
          </w:p>
        </w:tc>
        <w:tc>
          <w:tcPr>
            <w:tcW w:w="5889" w:type="dxa"/>
            <w:gridSpan w:val="6"/>
          </w:tcPr>
          <w:p>
            <w:pPr>
              <w:pStyle w:val="TableParagraph"/>
              <w:spacing w:line="352" w:lineRule="exact"/>
              <w:ind w:left="1053"/>
              <w:rPr>
                <w:sz w:val="21"/>
              </w:rPr>
            </w:pPr>
            <w:r>
              <w:rPr>
                <w:sz w:val="21"/>
              </w:rPr>
              <w:t>东钱湖国际教育论坛项目环境影响报告书</w:t>
            </w:r>
          </w:p>
        </w:tc>
      </w:tr>
      <w:tr>
        <w:trPr>
          <w:trHeight w:val="371" w:hRule="atLeast"/>
        </w:trPr>
        <w:tc>
          <w:tcPr>
            <w:tcW w:w="2405" w:type="dxa"/>
          </w:tcPr>
          <w:p>
            <w:pPr>
              <w:pStyle w:val="TableParagraph"/>
              <w:spacing w:line="352" w:lineRule="exact"/>
              <w:ind w:left="132" w:right="121"/>
              <w:jc w:val="center"/>
              <w:rPr>
                <w:sz w:val="21"/>
              </w:rPr>
            </w:pPr>
            <w:r>
              <w:rPr>
                <w:sz w:val="21"/>
              </w:rPr>
              <w:t>环境影响评价单位</w:t>
            </w:r>
          </w:p>
        </w:tc>
        <w:tc>
          <w:tcPr>
            <w:tcW w:w="5889" w:type="dxa"/>
            <w:gridSpan w:val="6"/>
          </w:tcPr>
          <w:p>
            <w:pPr>
              <w:pStyle w:val="TableParagraph"/>
              <w:spacing w:line="352" w:lineRule="exact"/>
              <w:ind w:left="1473"/>
              <w:rPr>
                <w:sz w:val="21"/>
              </w:rPr>
            </w:pPr>
            <w:r>
              <w:rPr>
                <w:sz w:val="21"/>
              </w:rPr>
              <w:t>宁波市环境保护科学研究设计院</w:t>
            </w:r>
          </w:p>
        </w:tc>
      </w:tr>
      <w:tr>
        <w:trPr>
          <w:trHeight w:val="997" w:hRule="atLeast"/>
        </w:trPr>
        <w:tc>
          <w:tcPr>
            <w:tcW w:w="2405" w:type="dxa"/>
          </w:tcPr>
          <w:p>
            <w:pPr>
              <w:pStyle w:val="TableParagraph"/>
              <w:spacing w:before="15"/>
              <w:rPr>
                <w:sz w:val="13"/>
              </w:rPr>
            </w:pPr>
          </w:p>
          <w:p>
            <w:pPr>
              <w:pStyle w:val="TableParagraph"/>
              <w:ind w:left="132" w:right="123"/>
              <w:jc w:val="center"/>
              <w:rPr>
                <w:sz w:val="21"/>
              </w:rPr>
            </w:pPr>
            <w:r>
              <w:rPr>
                <w:sz w:val="21"/>
              </w:rPr>
              <w:t>立项审批部门</w:t>
            </w:r>
          </w:p>
        </w:tc>
        <w:tc>
          <w:tcPr>
            <w:tcW w:w="1418" w:type="dxa"/>
          </w:tcPr>
          <w:p>
            <w:pPr>
              <w:pStyle w:val="TableParagraph"/>
              <w:spacing w:line="168" w:lineRule="auto" w:before="72"/>
              <w:ind w:left="182" w:right="169"/>
              <w:rPr>
                <w:sz w:val="21"/>
              </w:rPr>
            </w:pPr>
            <w:r>
              <w:rPr>
                <w:spacing w:val="-1"/>
                <w:sz w:val="21"/>
              </w:rPr>
              <w:t>宁波东钱湖</w:t>
            </w:r>
            <w:r>
              <w:rPr>
                <w:spacing w:val="-2"/>
                <w:sz w:val="21"/>
              </w:rPr>
              <w:t>旅游度假区</w:t>
            </w:r>
          </w:p>
          <w:p>
            <w:pPr>
              <w:pStyle w:val="TableParagraph"/>
              <w:spacing w:line="283" w:lineRule="exact"/>
              <w:ind w:left="182"/>
              <w:rPr>
                <w:sz w:val="21"/>
              </w:rPr>
            </w:pPr>
            <w:r>
              <w:rPr>
                <w:spacing w:val="-1"/>
                <w:sz w:val="21"/>
              </w:rPr>
              <w:t>经济发展局</w:t>
            </w:r>
          </w:p>
        </w:tc>
        <w:tc>
          <w:tcPr>
            <w:tcW w:w="705" w:type="dxa"/>
            <w:tcBorders>
              <w:right w:val="single" w:sz="6" w:space="0" w:color="000000"/>
            </w:tcBorders>
          </w:tcPr>
          <w:p>
            <w:pPr>
              <w:pStyle w:val="TableParagraph"/>
              <w:spacing w:before="15"/>
              <w:rPr>
                <w:sz w:val="13"/>
              </w:rPr>
            </w:pPr>
          </w:p>
          <w:p>
            <w:pPr>
              <w:pStyle w:val="TableParagraph"/>
              <w:ind w:left="123" w:right="109"/>
              <w:jc w:val="center"/>
              <w:rPr>
                <w:sz w:val="21"/>
              </w:rPr>
            </w:pPr>
            <w:r>
              <w:rPr>
                <w:sz w:val="21"/>
              </w:rPr>
              <w:t>文号</w:t>
            </w:r>
          </w:p>
        </w:tc>
        <w:tc>
          <w:tcPr>
            <w:tcW w:w="1559" w:type="dxa"/>
            <w:gridSpan w:val="2"/>
            <w:tcBorders>
              <w:left w:val="single" w:sz="6" w:space="0" w:color="000000"/>
            </w:tcBorders>
          </w:tcPr>
          <w:p>
            <w:pPr>
              <w:pStyle w:val="TableParagraph"/>
              <w:spacing w:line="379" w:lineRule="exact" w:before="134"/>
              <w:ind w:left="253"/>
              <w:rPr>
                <w:sz w:val="21"/>
              </w:rPr>
            </w:pPr>
            <w:r>
              <w:rPr>
                <w:spacing w:val="-1"/>
                <w:sz w:val="21"/>
              </w:rPr>
              <w:t>甬东旅经发</w:t>
            </w:r>
          </w:p>
          <w:p>
            <w:pPr>
              <w:pStyle w:val="TableParagraph"/>
              <w:spacing w:line="379" w:lineRule="exact"/>
              <w:ind w:left="263"/>
              <w:rPr>
                <w:sz w:val="21"/>
              </w:rPr>
            </w:pPr>
            <w:r>
              <w:rPr>
                <w:rFonts w:ascii="Times New Roman" w:eastAsia="Times New Roman"/>
                <w:sz w:val="21"/>
              </w:rPr>
              <w:t>[2011]23</w:t>
            </w:r>
            <w:r>
              <w:rPr>
                <w:rFonts w:ascii="Times New Roman" w:eastAsia="Times New Roman"/>
                <w:spacing w:val="-1"/>
                <w:sz w:val="21"/>
              </w:rPr>
              <w:t> </w:t>
            </w:r>
            <w:r>
              <w:rPr>
                <w:sz w:val="21"/>
              </w:rPr>
              <w:t>号</w:t>
            </w:r>
          </w:p>
        </w:tc>
        <w:tc>
          <w:tcPr>
            <w:tcW w:w="991" w:type="dxa"/>
          </w:tcPr>
          <w:p>
            <w:pPr>
              <w:pStyle w:val="TableParagraph"/>
              <w:spacing w:before="15"/>
              <w:rPr>
                <w:sz w:val="13"/>
              </w:rPr>
            </w:pPr>
          </w:p>
          <w:p>
            <w:pPr>
              <w:pStyle w:val="TableParagraph"/>
              <w:ind w:left="269" w:right="252"/>
              <w:jc w:val="center"/>
              <w:rPr>
                <w:sz w:val="21"/>
              </w:rPr>
            </w:pPr>
            <w:r>
              <w:rPr>
                <w:sz w:val="21"/>
              </w:rPr>
              <w:t>时间</w:t>
            </w:r>
          </w:p>
        </w:tc>
        <w:tc>
          <w:tcPr>
            <w:tcW w:w="1216" w:type="dxa"/>
          </w:tcPr>
          <w:p>
            <w:pPr>
              <w:pStyle w:val="TableParagraph"/>
              <w:spacing w:line="379" w:lineRule="exact" w:before="134"/>
              <w:ind w:left="190"/>
              <w:rPr>
                <w:rFonts w:ascii="Times New Roman" w:eastAsia="Times New Roman"/>
                <w:sz w:val="21"/>
              </w:rPr>
            </w:pPr>
            <w:r>
              <w:rPr>
                <w:rFonts w:ascii="Times New Roman" w:eastAsia="Times New Roman"/>
                <w:sz w:val="21"/>
              </w:rPr>
              <w:t>2011 </w:t>
            </w:r>
            <w:r>
              <w:rPr>
                <w:sz w:val="21"/>
              </w:rPr>
              <w:t>年 </w:t>
            </w:r>
            <w:r>
              <w:rPr>
                <w:rFonts w:ascii="Times New Roman" w:eastAsia="Times New Roman"/>
                <w:sz w:val="21"/>
              </w:rPr>
              <w:t>4</w:t>
            </w:r>
          </w:p>
          <w:p>
            <w:pPr>
              <w:pStyle w:val="TableParagraph"/>
              <w:spacing w:line="379" w:lineRule="exact"/>
              <w:ind w:left="243"/>
              <w:rPr>
                <w:sz w:val="21"/>
              </w:rPr>
            </w:pPr>
            <w:r>
              <w:rPr>
                <w:sz w:val="21"/>
              </w:rPr>
              <w:t>月 </w:t>
            </w:r>
            <w:r>
              <w:rPr>
                <w:rFonts w:ascii="Times New Roman" w:eastAsia="Times New Roman"/>
                <w:sz w:val="21"/>
              </w:rPr>
              <w:t>20 </w:t>
            </w:r>
            <w:r>
              <w:rPr>
                <w:sz w:val="21"/>
              </w:rPr>
              <w:t>日</w:t>
            </w:r>
          </w:p>
        </w:tc>
      </w:tr>
      <w:tr>
        <w:trPr>
          <w:trHeight w:val="995" w:hRule="atLeast"/>
        </w:trPr>
        <w:tc>
          <w:tcPr>
            <w:tcW w:w="2405" w:type="dxa"/>
          </w:tcPr>
          <w:p>
            <w:pPr>
              <w:pStyle w:val="TableParagraph"/>
              <w:spacing w:before="12"/>
              <w:rPr>
                <w:sz w:val="13"/>
              </w:rPr>
            </w:pPr>
          </w:p>
          <w:p>
            <w:pPr>
              <w:pStyle w:val="TableParagraph"/>
              <w:ind w:left="132" w:right="123"/>
              <w:jc w:val="center"/>
              <w:rPr>
                <w:sz w:val="21"/>
              </w:rPr>
            </w:pPr>
            <w:r>
              <w:rPr>
                <w:sz w:val="21"/>
              </w:rPr>
              <w:t>环境影响评价审批部门</w:t>
            </w:r>
          </w:p>
        </w:tc>
        <w:tc>
          <w:tcPr>
            <w:tcW w:w="1418" w:type="dxa"/>
          </w:tcPr>
          <w:p>
            <w:pPr>
              <w:pStyle w:val="TableParagraph"/>
              <w:spacing w:line="168" w:lineRule="auto" w:before="69"/>
              <w:ind w:left="182" w:right="169"/>
              <w:rPr>
                <w:sz w:val="21"/>
              </w:rPr>
            </w:pPr>
            <w:r>
              <w:rPr>
                <w:spacing w:val="-1"/>
                <w:sz w:val="21"/>
              </w:rPr>
              <w:t>宁波东钱湖</w:t>
            </w:r>
            <w:r>
              <w:rPr>
                <w:spacing w:val="-2"/>
                <w:sz w:val="21"/>
              </w:rPr>
              <w:t>旅游度假区</w:t>
            </w:r>
          </w:p>
          <w:p>
            <w:pPr>
              <w:pStyle w:val="TableParagraph"/>
              <w:spacing w:line="283" w:lineRule="exact"/>
              <w:ind w:left="182"/>
              <w:rPr>
                <w:sz w:val="21"/>
              </w:rPr>
            </w:pPr>
            <w:r>
              <w:rPr>
                <w:spacing w:val="-1"/>
                <w:sz w:val="21"/>
              </w:rPr>
              <w:t>环境保护局</w:t>
            </w:r>
          </w:p>
        </w:tc>
        <w:tc>
          <w:tcPr>
            <w:tcW w:w="705" w:type="dxa"/>
            <w:tcBorders>
              <w:right w:val="single" w:sz="6" w:space="0" w:color="000000"/>
            </w:tcBorders>
          </w:tcPr>
          <w:p>
            <w:pPr>
              <w:pStyle w:val="TableParagraph"/>
              <w:spacing w:before="12"/>
              <w:rPr>
                <w:sz w:val="13"/>
              </w:rPr>
            </w:pPr>
          </w:p>
          <w:p>
            <w:pPr>
              <w:pStyle w:val="TableParagraph"/>
              <w:ind w:left="123" w:right="109"/>
              <w:jc w:val="center"/>
              <w:rPr>
                <w:sz w:val="21"/>
              </w:rPr>
            </w:pPr>
            <w:r>
              <w:rPr>
                <w:sz w:val="21"/>
              </w:rPr>
              <w:t>文号</w:t>
            </w:r>
          </w:p>
        </w:tc>
        <w:tc>
          <w:tcPr>
            <w:tcW w:w="1559" w:type="dxa"/>
            <w:gridSpan w:val="2"/>
            <w:tcBorders>
              <w:left w:val="single" w:sz="6" w:space="0" w:color="000000"/>
            </w:tcBorders>
          </w:tcPr>
          <w:p>
            <w:pPr>
              <w:pStyle w:val="TableParagraph"/>
              <w:spacing w:line="379" w:lineRule="exact" w:before="132"/>
              <w:ind w:left="253"/>
              <w:rPr>
                <w:sz w:val="21"/>
              </w:rPr>
            </w:pPr>
            <w:r>
              <w:rPr>
                <w:sz w:val="21"/>
              </w:rPr>
              <w:t>甬东旅环发</w:t>
            </w:r>
          </w:p>
          <w:p>
            <w:pPr>
              <w:pStyle w:val="TableParagraph"/>
              <w:spacing w:line="379" w:lineRule="exact"/>
              <w:ind w:left="315"/>
              <w:rPr>
                <w:sz w:val="21"/>
              </w:rPr>
            </w:pPr>
            <w:r>
              <w:rPr>
                <w:rFonts w:ascii="Times New Roman" w:eastAsia="Times New Roman"/>
                <w:sz w:val="21"/>
              </w:rPr>
              <w:t>[2011]2 </w:t>
            </w:r>
            <w:r>
              <w:rPr>
                <w:sz w:val="21"/>
              </w:rPr>
              <w:t>号</w:t>
            </w:r>
          </w:p>
        </w:tc>
        <w:tc>
          <w:tcPr>
            <w:tcW w:w="991" w:type="dxa"/>
          </w:tcPr>
          <w:p>
            <w:pPr>
              <w:pStyle w:val="TableParagraph"/>
              <w:spacing w:before="12"/>
              <w:rPr>
                <w:sz w:val="13"/>
              </w:rPr>
            </w:pPr>
          </w:p>
          <w:p>
            <w:pPr>
              <w:pStyle w:val="TableParagraph"/>
              <w:ind w:left="269" w:right="252"/>
              <w:jc w:val="center"/>
              <w:rPr>
                <w:sz w:val="21"/>
              </w:rPr>
            </w:pPr>
            <w:r>
              <w:rPr>
                <w:sz w:val="21"/>
              </w:rPr>
              <w:t>时间</w:t>
            </w:r>
          </w:p>
        </w:tc>
        <w:tc>
          <w:tcPr>
            <w:tcW w:w="1216" w:type="dxa"/>
          </w:tcPr>
          <w:p>
            <w:pPr>
              <w:pStyle w:val="TableParagraph"/>
              <w:spacing w:line="379" w:lineRule="exact" w:before="132"/>
              <w:ind w:left="190"/>
              <w:rPr>
                <w:rFonts w:ascii="Times New Roman" w:eastAsia="Times New Roman"/>
                <w:sz w:val="21"/>
              </w:rPr>
            </w:pPr>
            <w:r>
              <w:rPr>
                <w:rFonts w:ascii="Times New Roman" w:eastAsia="Times New Roman"/>
                <w:sz w:val="21"/>
              </w:rPr>
              <w:t>2011 </w:t>
            </w:r>
            <w:r>
              <w:rPr>
                <w:sz w:val="21"/>
              </w:rPr>
              <w:t>年 </w:t>
            </w:r>
            <w:r>
              <w:rPr>
                <w:rFonts w:ascii="Times New Roman" w:eastAsia="Times New Roman"/>
                <w:sz w:val="21"/>
              </w:rPr>
              <w:t>4</w:t>
            </w:r>
          </w:p>
          <w:p>
            <w:pPr>
              <w:pStyle w:val="TableParagraph"/>
              <w:spacing w:line="379" w:lineRule="exact"/>
              <w:ind w:left="243"/>
              <w:rPr>
                <w:sz w:val="21"/>
              </w:rPr>
            </w:pPr>
            <w:r>
              <w:rPr>
                <w:sz w:val="21"/>
              </w:rPr>
              <w:t>月 </w:t>
            </w:r>
            <w:r>
              <w:rPr>
                <w:rFonts w:ascii="Times New Roman" w:eastAsia="Times New Roman"/>
                <w:sz w:val="21"/>
              </w:rPr>
              <w:t>16 </w:t>
            </w:r>
            <w:r>
              <w:rPr>
                <w:sz w:val="21"/>
              </w:rPr>
              <w:t>日</w:t>
            </w:r>
          </w:p>
        </w:tc>
      </w:tr>
      <w:tr>
        <w:trPr>
          <w:trHeight w:val="371" w:hRule="atLeast"/>
        </w:trPr>
        <w:tc>
          <w:tcPr>
            <w:tcW w:w="2405" w:type="dxa"/>
          </w:tcPr>
          <w:p>
            <w:pPr>
              <w:pStyle w:val="TableParagraph"/>
              <w:spacing w:line="352" w:lineRule="exact"/>
              <w:ind w:left="132" w:right="123"/>
              <w:jc w:val="center"/>
              <w:rPr>
                <w:sz w:val="21"/>
              </w:rPr>
            </w:pPr>
            <w:r>
              <w:rPr>
                <w:sz w:val="21"/>
              </w:rPr>
              <w:t>工程设计单位</w:t>
            </w:r>
          </w:p>
        </w:tc>
        <w:tc>
          <w:tcPr>
            <w:tcW w:w="5889" w:type="dxa"/>
            <w:gridSpan w:val="6"/>
          </w:tcPr>
          <w:p>
            <w:pPr>
              <w:pStyle w:val="TableParagraph"/>
              <w:spacing w:line="352" w:lineRule="exact"/>
              <w:ind w:left="1473"/>
              <w:rPr>
                <w:sz w:val="21"/>
              </w:rPr>
            </w:pPr>
            <w:r>
              <w:rPr>
                <w:sz w:val="21"/>
              </w:rPr>
              <w:t>中国美院风景建筑设计研究总院</w:t>
            </w:r>
          </w:p>
        </w:tc>
      </w:tr>
      <w:tr>
        <w:trPr>
          <w:trHeight w:val="371" w:hRule="atLeast"/>
        </w:trPr>
        <w:tc>
          <w:tcPr>
            <w:tcW w:w="2405" w:type="dxa"/>
          </w:tcPr>
          <w:p>
            <w:pPr>
              <w:pStyle w:val="TableParagraph"/>
              <w:spacing w:line="352" w:lineRule="exact"/>
              <w:ind w:left="132" w:right="123"/>
              <w:jc w:val="center"/>
              <w:rPr>
                <w:sz w:val="21"/>
              </w:rPr>
            </w:pPr>
            <w:r>
              <w:rPr>
                <w:sz w:val="21"/>
              </w:rPr>
              <w:t>工程施工单位</w:t>
            </w:r>
          </w:p>
        </w:tc>
        <w:tc>
          <w:tcPr>
            <w:tcW w:w="5889" w:type="dxa"/>
            <w:gridSpan w:val="6"/>
          </w:tcPr>
          <w:p>
            <w:pPr>
              <w:pStyle w:val="TableParagraph"/>
              <w:spacing w:line="352" w:lineRule="exact"/>
              <w:ind w:left="1896"/>
              <w:rPr>
                <w:sz w:val="21"/>
              </w:rPr>
            </w:pPr>
            <w:r>
              <w:rPr>
                <w:sz w:val="21"/>
              </w:rPr>
              <w:t>浙江万华建设有限公司</w:t>
            </w:r>
          </w:p>
        </w:tc>
      </w:tr>
      <w:tr>
        <w:trPr>
          <w:trHeight w:val="371" w:hRule="atLeast"/>
        </w:trPr>
        <w:tc>
          <w:tcPr>
            <w:tcW w:w="2405" w:type="dxa"/>
          </w:tcPr>
          <w:p>
            <w:pPr>
              <w:pStyle w:val="TableParagraph"/>
              <w:spacing w:line="352" w:lineRule="exact"/>
              <w:ind w:left="132" w:right="123"/>
              <w:jc w:val="center"/>
              <w:rPr>
                <w:sz w:val="21"/>
              </w:rPr>
            </w:pPr>
            <w:r>
              <w:rPr>
                <w:sz w:val="21"/>
              </w:rPr>
              <w:t>工程监理单位</w:t>
            </w:r>
          </w:p>
        </w:tc>
        <w:tc>
          <w:tcPr>
            <w:tcW w:w="5889" w:type="dxa"/>
            <w:gridSpan w:val="6"/>
          </w:tcPr>
          <w:p>
            <w:pPr>
              <w:pStyle w:val="TableParagraph"/>
              <w:spacing w:line="352" w:lineRule="exact"/>
              <w:ind w:left="1370"/>
              <w:rPr>
                <w:sz w:val="21"/>
              </w:rPr>
            </w:pPr>
            <w:r>
              <w:rPr>
                <w:sz w:val="21"/>
              </w:rPr>
              <w:t>宁波市科展建筑工程监理有限公司</w:t>
            </w:r>
          </w:p>
        </w:tc>
      </w:tr>
      <w:tr>
        <w:trPr>
          <w:trHeight w:val="371" w:hRule="atLeast"/>
        </w:trPr>
        <w:tc>
          <w:tcPr>
            <w:tcW w:w="2405" w:type="dxa"/>
          </w:tcPr>
          <w:p>
            <w:pPr>
              <w:pStyle w:val="TableParagraph"/>
              <w:spacing w:line="352" w:lineRule="exact"/>
              <w:ind w:left="132" w:right="123"/>
              <w:jc w:val="center"/>
              <w:rPr>
                <w:sz w:val="21"/>
              </w:rPr>
            </w:pPr>
            <w:r>
              <w:rPr>
                <w:sz w:val="21"/>
              </w:rPr>
              <w:t>环境保护设施监测单位</w:t>
            </w:r>
          </w:p>
        </w:tc>
        <w:tc>
          <w:tcPr>
            <w:tcW w:w="5889" w:type="dxa"/>
            <w:gridSpan w:val="6"/>
          </w:tcPr>
          <w:p>
            <w:pPr>
              <w:pStyle w:val="TableParagraph"/>
              <w:spacing w:line="352" w:lineRule="exact"/>
              <w:ind w:left="1370"/>
              <w:rPr>
                <w:sz w:val="21"/>
              </w:rPr>
            </w:pPr>
            <w:r>
              <w:rPr>
                <w:sz w:val="21"/>
              </w:rPr>
              <w:t>浙江人欣检测研究院股份有限公司</w:t>
            </w:r>
          </w:p>
        </w:tc>
      </w:tr>
      <w:tr>
        <w:trPr>
          <w:trHeight w:val="997" w:hRule="atLeast"/>
        </w:trPr>
        <w:tc>
          <w:tcPr>
            <w:tcW w:w="2405" w:type="dxa"/>
          </w:tcPr>
          <w:p>
            <w:pPr>
              <w:pStyle w:val="TableParagraph"/>
              <w:spacing w:line="409" w:lineRule="exact" w:before="103"/>
              <w:ind w:left="132" w:right="121"/>
              <w:jc w:val="center"/>
              <w:rPr>
                <w:sz w:val="21"/>
              </w:rPr>
            </w:pPr>
            <w:r>
              <w:rPr>
                <w:sz w:val="21"/>
              </w:rPr>
              <w:t>投资总概算</w:t>
            </w:r>
          </w:p>
          <w:p>
            <w:pPr>
              <w:pStyle w:val="TableParagraph"/>
              <w:spacing w:line="409" w:lineRule="exact"/>
              <w:ind w:left="132" w:right="123"/>
              <w:jc w:val="center"/>
              <w:rPr>
                <w:rFonts w:ascii="Times New Roman" w:eastAsia="Times New Roman"/>
                <w:sz w:val="21"/>
              </w:rPr>
            </w:pPr>
            <w:r>
              <w:rPr>
                <w:rFonts w:ascii="Times New Roman" w:eastAsia="Times New Roman"/>
                <w:sz w:val="21"/>
              </w:rPr>
              <w:t>(</w:t>
            </w:r>
            <w:r>
              <w:rPr>
                <w:sz w:val="21"/>
              </w:rPr>
              <w:t>万元</w:t>
            </w:r>
            <w:r>
              <w:rPr>
                <w:rFonts w:ascii="Times New Roman" w:eastAsia="Times New Roman"/>
                <w:sz w:val="21"/>
              </w:rPr>
              <w:t>)</w:t>
            </w:r>
          </w:p>
        </w:tc>
        <w:tc>
          <w:tcPr>
            <w:tcW w:w="1418" w:type="dxa"/>
          </w:tcPr>
          <w:p>
            <w:pPr>
              <w:pStyle w:val="TableParagraph"/>
              <w:rPr>
                <w:sz w:val="19"/>
              </w:rPr>
            </w:pPr>
          </w:p>
          <w:p>
            <w:pPr>
              <w:pStyle w:val="TableParagraph"/>
              <w:ind w:left="113" w:right="100"/>
              <w:jc w:val="center"/>
              <w:rPr>
                <w:rFonts w:ascii="Times New Roman"/>
                <w:sz w:val="21"/>
              </w:rPr>
            </w:pPr>
            <w:r>
              <w:rPr>
                <w:rFonts w:ascii="Times New Roman"/>
                <w:sz w:val="21"/>
              </w:rPr>
              <w:t>12000</w:t>
            </w:r>
          </w:p>
        </w:tc>
        <w:tc>
          <w:tcPr>
            <w:tcW w:w="1182" w:type="dxa"/>
            <w:gridSpan w:val="2"/>
          </w:tcPr>
          <w:p>
            <w:pPr>
              <w:pStyle w:val="TableParagraph"/>
              <w:spacing w:line="168" w:lineRule="auto" w:before="72"/>
              <w:ind w:left="68" w:right="51"/>
              <w:jc w:val="center"/>
              <w:rPr>
                <w:sz w:val="21"/>
              </w:rPr>
            </w:pPr>
            <w:r>
              <w:rPr>
                <w:sz w:val="21"/>
              </w:rPr>
              <w:t>其中：环境保护投资</w:t>
            </w:r>
          </w:p>
          <w:p>
            <w:pPr>
              <w:pStyle w:val="TableParagraph"/>
              <w:spacing w:line="283" w:lineRule="exact"/>
              <w:ind w:left="66" w:right="51"/>
              <w:jc w:val="center"/>
              <w:rPr>
                <w:rFonts w:ascii="Times New Roman" w:eastAsia="Times New Roman"/>
                <w:sz w:val="21"/>
              </w:rPr>
            </w:pPr>
            <w:r>
              <w:rPr>
                <w:rFonts w:ascii="Times New Roman" w:eastAsia="Times New Roman"/>
                <w:sz w:val="21"/>
              </w:rPr>
              <w:t>(</w:t>
            </w:r>
            <w:r>
              <w:rPr>
                <w:sz w:val="21"/>
              </w:rPr>
              <w:t>万元</w:t>
            </w:r>
            <w:r>
              <w:rPr>
                <w:rFonts w:ascii="Times New Roman" w:eastAsia="Times New Roman"/>
                <w:sz w:val="21"/>
              </w:rPr>
              <w:t>)</w:t>
            </w:r>
          </w:p>
        </w:tc>
        <w:tc>
          <w:tcPr>
            <w:tcW w:w="1082" w:type="dxa"/>
          </w:tcPr>
          <w:p>
            <w:pPr>
              <w:pStyle w:val="TableParagraph"/>
              <w:rPr>
                <w:sz w:val="19"/>
              </w:rPr>
            </w:pPr>
          </w:p>
          <w:p>
            <w:pPr>
              <w:pStyle w:val="TableParagraph"/>
              <w:ind w:left="103" w:right="86"/>
              <w:jc w:val="center"/>
              <w:rPr>
                <w:rFonts w:ascii="Times New Roman"/>
                <w:sz w:val="21"/>
              </w:rPr>
            </w:pPr>
            <w:r>
              <w:rPr>
                <w:rFonts w:ascii="Times New Roman"/>
                <w:sz w:val="21"/>
              </w:rPr>
              <w:t>450</w:t>
            </w:r>
          </w:p>
        </w:tc>
        <w:tc>
          <w:tcPr>
            <w:tcW w:w="991" w:type="dxa"/>
            <w:vMerge w:val="restart"/>
          </w:tcPr>
          <w:p>
            <w:pPr>
              <w:pStyle w:val="TableParagraph"/>
              <w:spacing w:before="7"/>
              <w:rPr>
                <w:sz w:val="12"/>
              </w:rPr>
            </w:pPr>
          </w:p>
          <w:p>
            <w:pPr>
              <w:pStyle w:val="TableParagraph"/>
              <w:spacing w:line="168" w:lineRule="auto"/>
              <w:ind w:left="182" w:right="162"/>
              <w:jc w:val="both"/>
              <w:rPr>
                <w:sz w:val="21"/>
              </w:rPr>
            </w:pPr>
            <w:r>
              <w:rPr>
                <w:sz w:val="21"/>
              </w:rPr>
              <w:t>实际环境保护投资占总投资比例</w:t>
            </w:r>
          </w:p>
        </w:tc>
        <w:tc>
          <w:tcPr>
            <w:tcW w:w="1216" w:type="dxa"/>
          </w:tcPr>
          <w:p>
            <w:pPr>
              <w:pStyle w:val="TableParagraph"/>
              <w:rPr>
                <w:sz w:val="19"/>
              </w:rPr>
            </w:pPr>
          </w:p>
          <w:p>
            <w:pPr>
              <w:pStyle w:val="TableParagraph"/>
              <w:ind w:left="276" w:right="258"/>
              <w:jc w:val="center"/>
              <w:rPr>
                <w:rFonts w:ascii="Times New Roman"/>
                <w:sz w:val="21"/>
              </w:rPr>
            </w:pPr>
            <w:r>
              <w:rPr>
                <w:rFonts w:ascii="Times New Roman"/>
                <w:sz w:val="21"/>
              </w:rPr>
              <w:t>3.75%</w:t>
            </w:r>
          </w:p>
        </w:tc>
      </w:tr>
      <w:tr>
        <w:trPr>
          <w:trHeight w:val="995" w:hRule="atLeast"/>
        </w:trPr>
        <w:tc>
          <w:tcPr>
            <w:tcW w:w="2405" w:type="dxa"/>
          </w:tcPr>
          <w:p>
            <w:pPr>
              <w:pStyle w:val="TableParagraph"/>
              <w:spacing w:line="409" w:lineRule="exact" w:before="101"/>
              <w:ind w:left="132" w:right="121"/>
              <w:jc w:val="center"/>
              <w:rPr>
                <w:sz w:val="21"/>
              </w:rPr>
            </w:pPr>
            <w:r>
              <w:rPr>
                <w:sz w:val="21"/>
              </w:rPr>
              <w:t>实际总投资</w:t>
            </w:r>
          </w:p>
          <w:p>
            <w:pPr>
              <w:pStyle w:val="TableParagraph"/>
              <w:spacing w:line="409" w:lineRule="exact"/>
              <w:ind w:left="132" w:right="123"/>
              <w:jc w:val="center"/>
              <w:rPr>
                <w:rFonts w:ascii="Times New Roman" w:eastAsia="Times New Roman"/>
                <w:sz w:val="21"/>
              </w:rPr>
            </w:pPr>
            <w:r>
              <w:rPr>
                <w:rFonts w:ascii="Times New Roman" w:eastAsia="Times New Roman"/>
                <w:sz w:val="21"/>
              </w:rPr>
              <w:t>(</w:t>
            </w:r>
            <w:r>
              <w:rPr>
                <w:sz w:val="21"/>
              </w:rPr>
              <w:t>万元</w:t>
            </w:r>
            <w:r>
              <w:rPr>
                <w:rFonts w:ascii="Times New Roman" w:eastAsia="Times New Roman"/>
                <w:sz w:val="21"/>
              </w:rPr>
              <w:t>)</w:t>
            </w:r>
          </w:p>
        </w:tc>
        <w:tc>
          <w:tcPr>
            <w:tcW w:w="1418" w:type="dxa"/>
          </w:tcPr>
          <w:p>
            <w:pPr>
              <w:pStyle w:val="TableParagraph"/>
              <w:spacing w:before="18"/>
              <w:rPr>
                <w:sz w:val="18"/>
              </w:rPr>
            </w:pPr>
          </w:p>
          <w:p>
            <w:pPr>
              <w:pStyle w:val="TableParagraph"/>
              <w:spacing w:before="1"/>
              <w:ind w:left="113" w:right="100"/>
              <w:jc w:val="center"/>
              <w:rPr>
                <w:rFonts w:ascii="Times New Roman"/>
                <w:sz w:val="21"/>
              </w:rPr>
            </w:pPr>
            <w:r>
              <w:rPr>
                <w:rFonts w:ascii="Times New Roman"/>
                <w:sz w:val="21"/>
              </w:rPr>
              <w:t>12000</w:t>
            </w:r>
          </w:p>
        </w:tc>
        <w:tc>
          <w:tcPr>
            <w:tcW w:w="1182" w:type="dxa"/>
            <w:gridSpan w:val="2"/>
          </w:tcPr>
          <w:p>
            <w:pPr>
              <w:pStyle w:val="TableParagraph"/>
              <w:spacing w:line="168" w:lineRule="auto" w:before="69"/>
              <w:ind w:left="68" w:right="51"/>
              <w:jc w:val="center"/>
              <w:rPr>
                <w:sz w:val="21"/>
              </w:rPr>
            </w:pPr>
            <w:r>
              <w:rPr>
                <w:sz w:val="21"/>
              </w:rPr>
              <w:t>其中：环境保护投资</w:t>
            </w:r>
          </w:p>
          <w:p>
            <w:pPr>
              <w:pStyle w:val="TableParagraph"/>
              <w:spacing w:line="283" w:lineRule="exact"/>
              <w:ind w:left="66" w:right="51"/>
              <w:jc w:val="center"/>
              <w:rPr>
                <w:rFonts w:ascii="Times New Roman" w:eastAsia="Times New Roman"/>
                <w:sz w:val="21"/>
              </w:rPr>
            </w:pPr>
            <w:r>
              <w:rPr>
                <w:rFonts w:ascii="Times New Roman" w:eastAsia="Times New Roman"/>
                <w:sz w:val="21"/>
              </w:rPr>
              <w:t>(</w:t>
            </w:r>
            <w:r>
              <w:rPr>
                <w:sz w:val="21"/>
              </w:rPr>
              <w:t>万元</w:t>
            </w:r>
            <w:r>
              <w:rPr>
                <w:rFonts w:ascii="Times New Roman" w:eastAsia="Times New Roman"/>
                <w:sz w:val="21"/>
              </w:rPr>
              <w:t>)</w:t>
            </w:r>
          </w:p>
        </w:tc>
        <w:tc>
          <w:tcPr>
            <w:tcW w:w="1082" w:type="dxa"/>
          </w:tcPr>
          <w:p>
            <w:pPr>
              <w:pStyle w:val="TableParagraph"/>
              <w:spacing w:before="18"/>
              <w:rPr>
                <w:sz w:val="18"/>
              </w:rPr>
            </w:pPr>
          </w:p>
          <w:p>
            <w:pPr>
              <w:pStyle w:val="TableParagraph"/>
              <w:spacing w:before="1"/>
              <w:ind w:left="103" w:right="86"/>
              <w:jc w:val="center"/>
              <w:rPr>
                <w:rFonts w:ascii="Times New Roman"/>
                <w:sz w:val="21"/>
              </w:rPr>
            </w:pPr>
            <w:r>
              <w:rPr>
                <w:rFonts w:ascii="Times New Roman"/>
                <w:sz w:val="21"/>
              </w:rPr>
              <w:t>527.12</w:t>
            </w:r>
          </w:p>
        </w:tc>
        <w:tc>
          <w:tcPr>
            <w:tcW w:w="991" w:type="dxa"/>
            <w:vMerge/>
            <w:tcBorders>
              <w:top w:val="nil"/>
            </w:tcBorders>
          </w:tcPr>
          <w:p>
            <w:pPr>
              <w:rPr>
                <w:sz w:val="2"/>
                <w:szCs w:val="2"/>
              </w:rPr>
            </w:pPr>
          </w:p>
        </w:tc>
        <w:tc>
          <w:tcPr>
            <w:tcW w:w="1216" w:type="dxa"/>
          </w:tcPr>
          <w:p>
            <w:pPr>
              <w:pStyle w:val="TableParagraph"/>
              <w:spacing w:before="18"/>
              <w:rPr>
                <w:sz w:val="18"/>
              </w:rPr>
            </w:pPr>
          </w:p>
          <w:p>
            <w:pPr>
              <w:pStyle w:val="TableParagraph"/>
              <w:spacing w:before="1"/>
              <w:ind w:left="276" w:right="258"/>
              <w:jc w:val="center"/>
              <w:rPr>
                <w:rFonts w:ascii="Times New Roman"/>
                <w:sz w:val="21"/>
              </w:rPr>
            </w:pPr>
            <w:r>
              <w:rPr>
                <w:rFonts w:ascii="Times New Roman"/>
                <w:sz w:val="21"/>
              </w:rPr>
              <w:t>4.39%</w:t>
            </w:r>
          </w:p>
        </w:tc>
      </w:tr>
      <w:tr>
        <w:trPr>
          <w:trHeight w:val="744" w:hRule="atLeast"/>
        </w:trPr>
        <w:tc>
          <w:tcPr>
            <w:tcW w:w="2405" w:type="dxa"/>
          </w:tcPr>
          <w:p>
            <w:pPr>
              <w:pStyle w:val="TableParagraph"/>
              <w:spacing w:line="385" w:lineRule="exact"/>
              <w:ind w:left="132" w:right="123"/>
              <w:jc w:val="center"/>
              <w:rPr>
                <w:sz w:val="21"/>
              </w:rPr>
            </w:pPr>
            <w:r>
              <w:rPr>
                <w:sz w:val="21"/>
              </w:rPr>
              <w:t>设计生产能力</w:t>
            </w:r>
          </w:p>
          <w:p>
            <w:pPr>
              <w:pStyle w:val="TableParagraph"/>
              <w:spacing w:line="339" w:lineRule="exact"/>
              <w:ind w:left="132" w:right="123"/>
              <w:jc w:val="center"/>
              <w:rPr>
                <w:sz w:val="21"/>
              </w:rPr>
            </w:pPr>
            <w:r>
              <w:rPr>
                <w:sz w:val="21"/>
              </w:rPr>
              <w:t>（总建筑面积）</w:t>
            </w:r>
          </w:p>
        </w:tc>
        <w:tc>
          <w:tcPr>
            <w:tcW w:w="1418" w:type="dxa"/>
          </w:tcPr>
          <w:p>
            <w:pPr>
              <w:pStyle w:val="TableParagraph"/>
              <w:spacing w:before="19"/>
              <w:rPr>
                <w:sz w:val="12"/>
              </w:rPr>
            </w:pPr>
          </w:p>
          <w:p>
            <w:pPr>
              <w:pStyle w:val="TableParagraph"/>
              <w:ind w:left="105" w:right="100"/>
              <w:jc w:val="center"/>
              <w:rPr>
                <w:rFonts w:ascii="Times New Roman"/>
                <w:sz w:val="21"/>
              </w:rPr>
            </w:pPr>
            <w:r>
              <w:rPr>
                <w:rFonts w:ascii="Times New Roman"/>
                <w:sz w:val="21"/>
              </w:rPr>
              <w:t>6393.50 m</w:t>
            </w:r>
            <w:r>
              <w:rPr>
                <w:rFonts w:ascii="Times New Roman"/>
                <w:sz w:val="21"/>
                <w:vertAlign w:val="superscript"/>
              </w:rPr>
              <w:t>2</w:t>
            </w:r>
          </w:p>
        </w:tc>
        <w:tc>
          <w:tcPr>
            <w:tcW w:w="2264" w:type="dxa"/>
            <w:gridSpan w:val="3"/>
          </w:tcPr>
          <w:p>
            <w:pPr>
              <w:pStyle w:val="TableParagraph"/>
              <w:spacing w:before="161"/>
              <w:ind w:left="293"/>
              <w:rPr>
                <w:sz w:val="21"/>
              </w:rPr>
            </w:pPr>
            <w:r>
              <w:rPr>
                <w:sz w:val="21"/>
              </w:rPr>
              <w:t>建设项目开工日期</w:t>
            </w:r>
          </w:p>
        </w:tc>
        <w:tc>
          <w:tcPr>
            <w:tcW w:w="2207" w:type="dxa"/>
            <w:gridSpan w:val="2"/>
          </w:tcPr>
          <w:p>
            <w:pPr>
              <w:pStyle w:val="TableParagraph"/>
              <w:spacing w:before="161"/>
              <w:ind w:left="501"/>
              <w:rPr>
                <w:sz w:val="21"/>
              </w:rPr>
            </w:pPr>
            <w:r>
              <w:rPr>
                <w:rFonts w:ascii="Times New Roman" w:eastAsia="Times New Roman"/>
                <w:sz w:val="21"/>
              </w:rPr>
              <w:t>2017 </w:t>
            </w:r>
            <w:r>
              <w:rPr>
                <w:sz w:val="21"/>
              </w:rPr>
              <w:t>年 </w:t>
            </w:r>
            <w:r>
              <w:rPr>
                <w:rFonts w:ascii="Times New Roman" w:eastAsia="Times New Roman"/>
                <w:sz w:val="21"/>
              </w:rPr>
              <w:t>10 </w:t>
            </w:r>
            <w:r>
              <w:rPr>
                <w:sz w:val="21"/>
              </w:rPr>
              <w:t>月</w:t>
            </w:r>
          </w:p>
        </w:tc>
      </w:tr>
      <w:tr>
        <w:trPr>
          <w:trHeight w:val="750" w:hRule="atLeast"/>
        </w:trPr>
        <w:tc>
          <w:tcPr>
            <w:tcW w:w="2405" w:type="dxa"/>
          </w:tcPr>
          <w:p>
            <w:pPr>
              <w:pStyle w:val="TableParagraph"/>
              <w:spacing w:line="390" w:lineRule="exact"/>
              <w:ind w:left="132" w:right="123"/>
              <w:jc w:val="center"/>
              <w:rPr>
                <w:sz w:val="21"/>
              </w:rPr>
            </w:pPr>
            <w:r>
              <w:rPr>
                <w:sz w:val="21"/>
              </w:rPr>
              <w:t>实际生产能力</w:t>
            </w:r>
          </w:p>
          <w:p>
            <w:pPr>
              <w:pStyle w:val="TableParagraph"/>
              <w:spacing w:line="341" w:lineRule="exact"/>
              <w:ind w:left="132" w:right="123"/>
              <w:jc w:val="center"/>
              <w:rPr>
                <w:sz w:val="21"/>
              </w:rPr>
            </w:pPr>
            <w:r>
              <w:rPr>
                <w:sz w:val="21"/>
              </w:rPr>
              <w:t>（总建筑面积）</w:t>
            </w:r>
          </w:p>
        </w:tc>
        <w:tc>
          <w:tcPr>
            <w:tcW w:w="1418" w:type="dxa"/>
          </w:tcPr>
          <w:p>
            <w:pPr>
              <w:pStyle w:val="TableParagraph"/>
              <w:spacing w:before="2"/>
              <w:rPr>
                <w:sz w:val="13"/>
              </w:rPr>
            </w:pPr>
          </w:p>
          <w:p>
            <w:pPr>
              <w:pStyle w:val="TableParagraph"/>
              <w:ind w:left="105" w:right="100"/>
              <w:jc w:val="center"/>
              <w:rPr>
                <w:rFonts w:ascii="Times New Roman"/>
                <w:sz w:val="21"/>
              </w:rPr>
            </w:pPr>
            <w:r>
              <w:rPr>
                <w:rFonts w:ascii="Times New Roman"/>
                <w:sz w:val="21"/>
              </w:rPr>
              <w:t>6268.05 m</w:t>
            </w:r>
            <w:r>
              <w:rPr>
                <w:rFonts w:ascii="Times New Roman"/>
                <w:sz w:val="21"/>
                <w:vertAlign w:val="superscript"/>
              </w:rPr>
              <w:t>2</w:t>
            </w:r>
          </w:p>
        </w:tc>
        <w:tc>
          <w:tcPr>
            <w:tcW w:w="2264" w:type="dxa"/>
            <w:gridSpan w:val="3"/>
          </w:tcPr>
          <w:p>
            <w:pPr>
              <w:pStyle w:val="TableParagraph"/>
              <w:spacing w:before="165"/>
              <w:ind w:left="396"/>
              <w:rPr>
                <w:sz w:val="21"/>
              </w:rPr>
            </w:pPr>
            <w:r>
              <w:rPr>
                <w:sz w:val="21"/>
              </w:rPr>
              <w:t>投入试运行日期</w:t>
            </w:r>
          </w:p>
        </w:tc>
        <w:tc>
          <w:tcPr>
            <w:tcW w:w="2207" w:type="dxa"/>
            <w:gridSpan w:val="2"/>
          </w:tcPr>
          <w:p>
            <w:pPr>
              <w:pStyle w:val="TableParagraph"/>
              <w:spacing w:before="165"/>
              <w:ind w:left="554"/>
              <w:rPr>
                <w:sz w:val="21"/>
              </w:rPr>
            </w:pPr>
            <w:r>
              <w:rPr>
                <w:rFonts w:ascii="Times New Roman" w:eastAsia="Times New Roman"/>
                <w:sz w:val="21"/>
              </w:rPr>
              <w:t>2019 </w:t>
            </w:r>
            <w:r>
              <w:rPr>
                <w:sz w:val="21"/>
              </w:rPr>
              <w:t>年 </w:t>
            </w:r>
            <w:r>
              <w:rPr>
                <w:rFonts w:ascii="Times New Roman" w:eastAsia="Times New Roman"/>
                <w:sz w:val="21"/>
              </w:rPr>
              <w:t>9 </w:t>
            </w:r>
            <w:r>
              <w:rPr>
                <w:sz w:val="21"/>
              </w:rPr>
              <w:t>月</w:t>
            </w:r>
          </w:p>
        </w:tc>
      </w:tr>
      <w:tr>
        <w:trPr>
          <w:trHeight w:val="2616" w:hRule="atLeast"/>
        </w:trPr>
        <w:tc>
          <w:tcPr>
            <w:tcW w:w="2405" w:type="dxa"/>
          </w:tcPr>
          <w:p>
            <w:pPr>
              <w:pStyle w:val="TableParagraph"/>
              <w:rPr>
                <w:sz w:val="20"/>
              </w:rPr>
            </w:pPr>
          </w:p>
          <w:p>
            <w:pPr>
              <w:pStyle w:val="TableParagraph"/>
              <w:rPr>
                <w:sz w:val="20"/>
              </w:rPr>
            </w:pPr>
          </w:p>
          <w:p>
            <w:pPr>
              <w:pStyle w:val="TableParagraph"/>
              <w:spacing w:before="18"/>
              <w:rPr>
                <w:sz w:val="11"/>
              </w:rPr>
            </w:pPr>
          </w:p>
          <w:p>
            <w:pPr>
              <w:pStyle w:val="TableParagraph"/>
              <w:ind w:left="132" w:right="121"/>
              <w:jc w:val="center"/>
              <w:rPr>
                <w:sz w:val="21"/>
              </w:rPr>
            </w:pPr>
            <w:r>
              <w:rPr>
                <w:sz w:val="21"/>
              </w:rPr>
              <w:t>调查经费</w:t>
            </w:r>
          </w:p>
        </w:tc>
        <w:tc>
          <w:tcPr>
            <w:tcW w:w="5889" w:type="dxa"/>
            <w:gridSpan w:val="6"/>
          </w:tcPr>
          <w:p>
            <w:pPr>
              <w:pStyle w:val="TableParagraph"/>
              <w:rPr>
                <w:sz w:val="22"/>
              </w:rPr>
            </w:pPr>
          </w:p>
          <w:p>
            <w:pPr>
              <w:pStyle w:val="TableParagraph"/>
              <w:rPr>
                <w:sz w:val="22"/>
              </w:rPr>
            </w:pPr>
          </w:p>
          <w:p>
            <w:pPr>
              <w:pStyle w:val="TableParagraph"/>
              <w:spacing w:before="3"/>
              <w:rPr>
                <w:sz w:val="13"/>
              </w:rPr>
            </w:pPr>
          </w:p>
          <w:p>
            <w:pPr>
              <w:pStyle w:val="TableParagraph"/>
              <w:ind w:left="12"/>
              <w:jc w:val="center"/>
              <w:rPr>
                <w:rFonts w:ascii="Times New Roman"/>
                <w:sz w:val="21"/>
              </w:rPr>
            </w:pPr>
            <w:r>
              <w:rPr>
                <w:rFonts w:ascii="Times New Roman"/>
                <w:w w:val="100"/>
                <w:sz w:val="21"/>
              </w:rPr>
              <w:t>/</w:t>
            </w:r>
          </w:p>
        </w:tc>
      </w:tr>
    </w:tbl>
    <w:p>
      <w:pPr>
        <w:spacing w:after="0"/>
        <w:jc w:val="center"/>
        <w:rPr>
          <w:rFonts w:ascii="Times New Roman"/>
          <w:sz w:val="21"/>
        </w:rPr>
        <w:sectPr>
          <w:pgSz w:w="11910" w:h="16840"/>
          <w:pgMar w:header="877" w:footer="1146" w:top="1420" w:bottom="1340" w:left="1200" w:right="1340"/>
        </w:sectPr>
      </w:pPr>
    </w:p>
    <w:tbl>
      <w:tblPr>
        <w:tblW w:w="0" w:type="auto"/>
        <w:jc w:val="left"/>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5"/>
        <w:gridCol w:w="5893"/>
      </w:tblGrid>
      <w:tr>
        <w:trPr>
          <w:trHeight w:val="5315" w:hRule="atLeast"/>
        </w:trPr>
        <w:tc>
          <w:tcPr>
            <w:tcW w:w="2405" w:type="dxa"/>
            <w:tcBorders>
              <w:bottom w:val="nil"/>
            </w:tcBorders>
          </w:tcPr>
          <w:p>
            <w:pPr>
              <w:pStyle w:val="TableParagraph"/>
              <w:rPr>
                <w:rFonts w:ascii="Times New Roman"/>
                <w:sz w:val="20"/>
              </w:rPr>
            </w:pPr>
          </w:p>
        </w:tc>
        <w:tc>
          <w:tcPr>
            <w:tcW w:w="5893" w:type="dxa"/>
            <w:tcBorders>
              <w:bottom w:val="nil"/>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11"/>
              </w:rPr>
            </w:pPr>
          </w:p>
          <w:p>
            <w:pPr>
              <w:pStyle w:val="TableParagraph"/>
              <w:spacing w:line="398" w:lineRule="exact" w:before="1"/>
              <w:ind w:left="108"/>
              <w:rPr>
                <w:sz w:val="21"/>
              </w:rPr>
            </w:pPr>
            <w:r>
              <w:rPr>
                <w:sz w:val="21"/>
              </w:rPr>
              <w:t>工程前期工作和建设进度情况如下：</w:t>
            </w:r>
          </w:p>
        </w:tc>
      </w:tr>
      <w:tr>
        <w:trPr>
          <w:trHeight w:val="691" w:hRule="atLeast"/>
        </w:trPr>
        <w:tc>
          <w:tcPr>
            <w:tcW w:w="2405" w:type="dxa"/>
            <w:tcBorders>
              <w:top w:val="nil"/>
              <w:bottom w:val="nil"/>
            </w:tcBorders>
          </w:tcPr>
          <w:p>
            <w:pPr>
              <w:pStyle w:val="TableParagraph"/>
              <w:rPr>
                <w:rFonts w:ascii="Times New Roman"/>
                <w:sz w:val="20"/>
              </w:rPr>
            </w:pPr>
          </w:p>
        </w:tc>
        <w:tc>
          <w:tcPr>
            <w:tcW w:w="5893" w:type="dxa"/>
            <w:tcBorders>
              <w:top w:val="nil"/>
              <w:bottom w:val="nil"/>
            </w:tcBorders>
          </w:tcPr>
          <w:p>
            <w:pPr>
              <w:pStyle w:val="TableParagraph"/>
              <w:spacing w:line="333" w:lineRule="exact"/>
              <w:ind w:left="108"/>
              <w:rPr>
                <w:sz w:val="21"/>
              </w:rPr>
            </w:pPr>
            <w:r>
              <w:rPr>
                <w:w w:val="100"/>
                <w:sz w:val="21"/>
              </w:rPr>
              <w:t>（</w:t>
            </w:r>
            <w:r>
              <w:rPr>
                <w:rFonts w:ascii="Times New Roman" w:hAnsi="Times New Roman" w:eastAsia="Times New Roman"/>
                <w:w w:val="100"/>
                <w:sz w:val="21"/>
              </w:rPr>
              <w:t>1</w:t>
            </w:r>
            <w:r>
              <w:rPr>
                <w:spacing w:val="-106"/>
                <w:w w:val="100"/>
                <w:sz w:val="21"/>
              </w:rPr>
              <w:t>）</w:t>
            </w:r>
            <w:r>
              <w:rPr>
                <w:rFonts w:ascii="Times New Roman" w:hAnsi="Times New Roman" w:eastAsia="Times New Roman"/>
                <w:w w:val="100"/>
                <w:sz w:val="21"/>
              </w:rPr>
              <w:t>2</w:t>
            </w:r>
            <w:r>
              <w:rPr>
                <w:rFonts w:ascii="Times New Roman" w:hAnsi="Times New Roman" w:eastAsia="Times New Roman"/>
                <w:spacing w:val="-3"/>
                <w:w w:val="100"/>
                <w:sz w:val="21"/>
              </w:rPr>
              <w:t>0</w:t>
            </w:r>
            <w:r>
              <w:rPr>
                <w:rFonts w:ascii="Times New Roman" w:hAnsi="Times New Roman" w:eastAsia="Times New Roman"/>
                <w:w w:val="100"/>
                <w:sz w:val="21"/>
              </w:rPr>
              <w:t>11</w:t>
            </w:r>
            <w:r>
              <w:rPr>
                <w:rFonts w:ascii="Times New Roman" w:hAnsi="Times New Roman" w:eastAsia="Times New Roman"/>
                <w:spacing w:val="-10"/>
                <w:sz w:val="21"/>
              </w:rPr>
              <w:t> </w:t>
            </w:r>
            <w:r>
              <w:rPr>
                <w:w w:val="100"/>
                <w:sz w:val="21"/>
              </w:rPr>
              <w:t>年</w:t>
            </w:r>
            <w:r>
              <w:rPr>
                <w:spacing w:val="-7"/>
                <w:sz w:val="21"/>
              </w:rPr>
              <w:t> </w:t>
            </w:r>
            <w:r>
              <w:rPr>
                <w:rFonts w:ascii="Times New Roman" w:hAnsi="Times New Roman" w:eastAsia="Times New Roman"/>
                <w:w w:val="100"/>
                <w:sz w:val="21"/>
              </w:rPr>
              <w:t>4</w:t>
            </w:r>
            <w:r>
              <w:rPr>
                <w:rFonts w:ascii="Times New Roman" w:hAnsi="Times New Roman" w:eastAsia="Times New Roman"/>
                <w:spacing w:val="-10"/>
                <w:sz w:val="21"/>
              </w:rPr>
              <w:t> </w:t>
            </w:r>
            <w:r>
              <w:rPr>
                <w:w w:val="100"/>
                <w:sz w:val="21"/>
              </w:rPr>
              <w:t>月</w:t>
            </w:r>
            <w:r>
              <w:rPr>
                <w:spacing w:val="-4"/>
                <w:sz w:val="21"/>
              </w:rPr>
              <w:t> </w:t>
            </w:r>
            <w:r>
              <w:rPr>
                <w:rFonts w:ascii="Times New Roman" w:hAnsi="Times New Roman" w:eastAsia="Times New Roman"/>
                <w:spacing w:val="-3"/>
                <w:w w:val="100"/>
                <w:sz w:val="21"/>
              </w:rPr>
              <w:t>2</w:t>
            </w:r>
            <w:r>
              <w:rPr>
                <w:rFonts w:ascii="Times New Roman" w:hAnsi="Times New Roman" w:eastAsia="Times New Roman"/>
                <w:w w:val="100"/>
                <w:sz w:val="21"/>
              </w:rPr>
              <w:t>0</w:t>
            </w:r>
            <w:r>
              <w:rPr>
                <w:rFonts w:ascii="Times New Roman" w:hAnsi="Times New Roman" w:eastAsia="Times New Roman"/>
                <w:spacing w:val="-10"/>
                <w:sz w:val="21"/>
              </w:rPr>
              <w:t> </w:t>
            </w:r>
            <w:r>
              <w:rPr>
                <w:spacing w:val="-13"/>
                <w:w w:val="100"/>
                <w:sz w:val="21"/>
              </w:rPr>
              <w:t>日，宁波东钱湖旅游度假区经济发展局</w:t>
            </w:r>
            <w:r>
              <w:rPr>
                <w:w w:val="211"/>
                <w:sz w:val="21"/>
              </w:rPr>
              <w:t>“</w:t>
            </w:r>
            <w:r>
              <w:rPr>
                <w:w w:val="100"/>
                <w:sz w:val="21"/>
              </w:rPr>
              <w:t>甬</w:t>
            </w:r>
          </w:p>
          <w:p>
            <w:pPr>
              <w:pStyle w:val="TableParagraph"/>
              <w:spacing w:line="339" w:lineRule="exact"/>
              <w:ind w:left="108"/>
              <w:rPr>
                <w:sz w:val="21"/>
              </w:rPr>
            </w:pPr>
            <w:r>
              <w:rPr>
                <w:w w:val="105"/>
                <w:sz w:val="21"/>
              </w:rPr>
              <w:t>东旅经发</w:t>
            </w:r>
            <w:r>
              <w:rPr>
                <w:rFonts w:ascii="Times New Roman" w:hAnsi="Times New Roman" w:eastAsia="Times New Roman"/>
                <w:w w:val="105"/>
                <w:sz w:val="21"/>
              </w:rPr>
              <w:t>[2011] 23 </w:t>
            </w:r>
            <w:r>
              <w:rPr>
                <w:w w:val="105"/>
                <w:sz w:val="21"/>
              </w:rPr>
              <w:t>号</w:t>
            </w:r>
            <w:r>
              <w:rPr>
                <w:w w:val="185"/>
                <w:sz w:val="21"/>
              </w:rPr>
              <w:t>”</w:t>
            </w:r>
            <w:r>
              <w:rPr>
                <w:w w:val="105"/>
                <w:sz w:val="21"/>
              </w:rPr>
              <w:t>文件对本项目进行立项批复；</w:t>
            </w:r>
          </w:p>
        </w:tc>
      </w:tr>
      <w:tr>
        <w:trPr>
          <w:trHeight w:val="601" w:hRule="atLeast"/>
        </w:trPr>
        <w:tc>
          <w:tcPr>
            <w:tcW w:w="2405" w:type="dxa"/>
            <w:tcBorders>
              <w:top w:val="nil"/>
              <w:bottom w:val="nil"/>
            </w:tcBorders>
          </w:tcPr>
          <w:p>
            <w:pPr>
              <w:pStyle w:val="TableParagraph"/>
              <w:rPr>
                <w:rFonts w:ascii="Times New Roman"/>
                <w:sz w:val="20"/>
              </w:rPr>
            </w:pPr>
          </w:p>
        </w:tc>
        <w:tc>
          <w:tcPr>
            <w:tcW w:w="5893" w:type="dxa"/>
            <w:tcBorders>
              <w:top w:val="nil"/>
              <w:bottom w:val="nil"/>
            </w:tcBorders>
          </w:tcPr>
          <w:p>
            <w:pPr>
              <w:pStyle w:val="TableParagraph"/>
              <w:spacing w:line="325" w:lineRule="exact"/>
              <w:ind w:left="108"/>
              <w:rPr>
                <w:sz w:val="21"/>
              </w:rPr>
            </w:pPr>
            <w:r>
              <w:rPr>
                <w:sz w:val="21"/>
              </w:rPr>
              <w:t>（</w:t>
            </w:r>
            <w:r>
              <w:rPr>
                <w:rFonts w:ascii="Times New Roman" w:eastAsia="Times New Roman"/>
                <w:sz w:val="21"/>
              </w:rPr>
              <w:t>2</w:t>
            </w:r>
            <w:r>
              <w:rPr>
                <w:sz w:val="21"/>
              </w:rPr>
              <w:t>）</w:t>
            </w:r>
            <w:r>
              <w:rPr>
                <w:rFonts w:ascii="Times New Roman" w:eastAsia="Times New Roman"/>
                <w:sz w:val="21"/>
              </w:rPr>
              <w:t>2011 </w:t>
            </w:r>
            <w:r>
              <w:rPr>
                <w:sz w:val="21"/>
              </w:rPr>
              <w:t>年 </w:t>
            </w:r>
            <w:r>
              <w:rPr>
                <w:rFonts w:ascii="Times New Roman" w:eastAsia="Times New Roman"/>
                <w:sz w:val="21"/>
              </w:rPr>
              <w:t>3 </w:t>
            </w:r>
            <w:r>
              <w:rPr>
                <w:sz w:val="21"/>
              </w:rPr>
              <w:t>月，建设单位委托宁波市环境保护科学研究设</w:t>
            </w:r>
          </w:p>
          <w:p>
            <w:pPr>
              <w:pStyle w:val="TableParagraph"/>
              <w:spacing w:line="256" w:lineRule="exact"/>
              <w:ind w:left="108" w:right="-15"/>
              <w:rPr>
                <w:sz w:val="21"/>
              </w:rPr>
            </w:pPr>
            <w:r>
              <w:rPr>
                <w:spacing w:val="-11"/>
                <w:sz w:val="21"/>
              </w:rPr>
              <w:t>计院编制完成了《东钱湖国际教育论坛项目环境影响报告书》；</w:t>
            </w:r>
          </w:p>
        </w:tc>
      </w:tr>
      <w:tr>
        <w:trPr>
          <w:trHeight w:val="766" w:hRule="atLeast"/>
        </w:trPr>
        <w:tc>
          <w:tcPr>
            <w:tcW w:w="2405" w:type="dxa"/>
            <w:tcBorders>
              <w:top w:val="nil"/>
              <w:bottom w:val="nil"/>
            </w:tcBorders>
          </w:tcPr>
          <w:p>
            <w:pPr>
              <w:pStyle w:val="TableParagraph"/>
              <w:spacing w:line="282" w:lineRule="exact"/>
              <w:ind w:left="132" w:right="121"/>
              <w:jc w:val="center"/>
              <w:rPr>
                <w:sz w:val="21"/>
              </w:rPr>
            </w:pPr>
            <w:r>
              <w:rPr>
                <w:sz w:val="21"/>
              </w:rPr>
              <w:t>项目建设过程简述</w:t>
            </w:r>
          </w:p>
          <w:p>
            <w:pPr>
              <w:pStyle w:val="TableParagraph"/>
              <w:spacing w:line="409" w:lineRule="exact"/>
              <w:ind w:left="132" w:right="123"/>
              <w:jc w:val="center"/>
              <w:rPr>
                <w:sz w:val="21"/>
              </w:rPr>
            </w:pPr>
            <w:r>
              <w:rPr>
                <w:sz w:val="21"/>
              </w:rPr>
              <w:t>（项目立项</w:t>
            </w:r>
            <w:r>
              <w:rPr>
                <w:rFonts w:ascii="Times New Roman" w:eastAsia="Times New Roman"/>
                <w:sz w:val="21"/>
              </w:rPr>
              <w:t>~</w:t>
            </w:r>
            <w:r>
              <w:rPr>
                <w:sz w:val="21"/>
              </w:rPr>
              <w:t>试运行）</w:t>
            </w:r>
          </w:p>
        </w:tc>
        <w:tc>
          <w:tcPr>
            <w:tcW w:w="5893" w:type="dxa"/>
            <w:tcBorders>
              <w:top w:val="nil"/>
              <w:bottom w:val="nil"/>
            </w:tcBorders>
          </w:tcPr>
          <w:p>
            <w:pPr>
              <w:pStyle w:val="TableParagraph"/>
              <w:spacing w:line="168" w:lineRule="auto" w:before="122"/>
              <w:ind w:left="108" w:right="37"/>
              <w:rPr>
                <w:sz w:val="21"/>
              </w:rPr>
            </w:pPr>
            <w:r>
              <w:rPr>
                <w:sz w:val="21"/>
              </w:rPr>
              <w:t>（</w:t>
            </w:r>
            <w:r>
              <w:rPr>
                <w:rFonts w:ascii="Times New Roman" w:eastAsia="Times New Roman"/>
                <w:sz w:val="21"/>
              </w:rPr>
              <w:t>3</w:t>
            </w:r>
            <w:r>
              <w:rPr>
                <w:sz w:val="21"/>
              </w:rPr>
              <w:t>）</w:t>
            </w:r>
            <w:r>
              <w:rPr>
                <w:rFonts w:ascii="Times New Roman" w:eastAsia="Times New Roman"/>
                <w:sz w:val="21"/>
              </w:rPr>
              <w:t>2011 </w:t>
            </w:r>
            <w:r>
              <w:rPr>
                <w:sz w:val="21"/>
              </w:rPr>
              <w:t>年 </w:t>
            </w:r>
            <w:r>
              <w:rPr>
                <w:rFonts w:ascii="Times New Roman" w:eastAsia="Times New Roman"/>
                <w:sz w:val="21"/>
              </w:rPr>
              <w:t>4 </w:t>
            </w:r>
            <w:r>
              <w:rPr>
                <w:sz w:val="21"/>
              </w:rPr>
              <w:t>月 </w:t>
            </w:r>
            <w:r>
              <w:rPr>
                <w:rFonts w:ascii="Times New Roman" w:eastAsia="Times New Roman"/>
                <w:sz w:val="21"/>
              </w:rPr>
              <w:t>16 </w:t>
            </w:r>
            <w:r>
              <w:rPr>
                <w:sz w:val="21"/>
              </w:rPr>
              <w:t>日，宁波东钱湖旅游度假区环境保护局对项目环境影响报告书作出了批复，甬东旅环发</w:t>
            </w:r>
            <w:r>
              <w:rPr>
                <w:rFonts w:ascii="Times New Roman" w:eastAsia="Times New Roman"/>
                <w:sz w:val="21"/>
              </w:rPr>
              <w:t>[2011]2</w:t>
            </w:r>
            <w:r>
              <w:rPr>
                <w:sz w:val="21"/>
              </w:rPr>
              <w:t>；</w:t>
            </w:r>
          </w:p>
        </w:tc>
      </w:tr>
      <w:tr>
        <w:trPr>
          <w:trHeight w:val="372" w:hRule="atLeast"/>
        </w:trPr>
        <w:tc>
          <w:tcPr>
            <w:tcW w:w="2405" w:type="dxa"/>
            <w:tcBorders>
              <w:top w:val="nil"/>
              <w:bottom w:val="nil"/>
            </w:tcBorders>
          </w:tcPr>
          <w:p>
            <w:pPr>
              <w:pStyle w:val="TableParagraph"/>
              <w:rPr>
                <w:rFonts w:ascii="Times New Roman"/>
                <w:sz w:val="20"/>
              </w:rPr>
            </w:pPr>
          </w:p>
        </w:tc>
        <w:tc>
          <w:tcPr>
            <w:tcW w:w="5893" w:type="dxa"/>
            <w:tcBorders>
              <w:top w:val="nil"/>
              <w:bottom w:val="nil"/>
            </w:tcBorders>
          </w:tcPr>
          <w:p>
            <w:pPr>
              <w:pStyle w:val="TableParagraph"/>
              <w:spacing w:line="352" w:lineRule="exact"/>
              <w:ind w:left="108"/>
              <w:rPr>
                <w:sz w:val="21"/>
              </w:rPr>
            </w:pPr>
            <w:r>
              <w:rPr>
                <w:sz w:val="21"/>
              </w:rPr>
              <w:t>（</w:t>
            </w:r>
            <w:r>
              <w:rPr>
                <w:rFonts w:ascii="Times New Roman" w:eastAsia="Times New Roman"/>
                <w:sz w:val="21"/>
              </w:rPr>
              <w:t>4</w:t>
            </w:r>
            <w:r>
              <w:rPr>
                <w:sz w:val="21"/>
              </w:rPr>
              <w:t>）</w:t>
            </w:r>
            <w:r>
              <w:rPr>
                <w:rFonts w:ascii="Times New Roman" w:eastAsia="Times New Roman"/>
                <w:sz w:val="21"/>
              </w:rPr>
              <w:t>2016 </w:t>
            </w:r>
            <w:r>
              <w:rPr>
                <w:sz w:val="21"/>
              </w:rPr>
              <w:t>年 </w:t>
            </w:r>
            <w:r>
              <w:rPr>
                <w:rFonts w:ascii="Times New Roman" w:eastAsia="Times New Roman"/>
                <w:sz w:val="21"/>
              </w:rPr>
              <w:t>5 </w:t>
            </w:r>
            <w:r>
              <w:rPr>
                <w:sz w:val="21"/>
              </w:rPr>
              <w:t>月 </w:t>
            </w:r>
            <w:r>
              <w:rPr>
                <w:rFonts w:ascii="Times New Roman" w:eastAsia="Times New Roman"/>
                <w:sz w:val="21"/>
              </w:rPr>
              <w:t>5 </w:t>
            </w:r>
            <w:r>
              <w:rPr>
                <w:sz w:val="21"/>
              </w:rPr>
              <w:t>日，取得项目建设工程规划许可证；</w:t>
            </w:r>
          </w:p>
        </w:tc>
      </w:tr>
      <w:tr>
        <w:trPr>
          <w:trHeight w:val="372" w:hRule="atLeast"/>
        </w:trPr>
        <w:tc>
          <w:tcPr>
            <w:tcW w:w="2405" w:type="dxa"/>
            <w:tcBorders>
              <w:top w:val="nil"/>
              <w:bottom w:val="nil"/>
            </w:tcBorders>
          </w:tcPr>
          <w:p>
            <w:pPr>
              <w:pStyle w:val="TableParagraph"/>
              <w:rPr>
                <w:rFonts w:ascii="Times New Roman"/>
                <w:sz w:val="20"/>
              </w:rPr>
            </w:pPr>
          </w:p>
        </w:tc>
        <w:tc>
          <w:tcPr>
            <w:tcW w:w="5893" w:type="dxa"/>
            <w:tcBorders>
              <w:top w:val="nil"/>
              <w:bottom w:val="nil"/>
            </w:tcBorders>
          </w:tcPr>
          <w:p>
            <w:pPr>
              <w:pStyle w:val="TableParagraph"/>
              <w:spacing w:line="352" w:lineRule="exact"/>
              <w:ind w:left="108"/>
              <w:rPr>
                <w:sz w:val="21"/>
              </w:rPr>
            </w:pPr>
            <w:r>
              <w:rPr>
                <w:sz w:val="21"/>
              </w:rPr>
              <w:t>（</w:t>
            </w:r>
            <w:r>
              <w:rPr>
                <w:rFonts w:ascii="Times New Roman" w:eastAsia="Times New Roman"/>
                <w:sz w:val="21"/>
              </w:rPr>
              <w:t>5</w:t>
            </w:r>
            <w:r>
              <w:rPr>
                <w:sz w:val="21"/>
              </w:rPr>
              <w:t>）</w:t>
            </w:r>
            <w:r>
              <w:rPr>
                <w:rFonts w:ascii="Times New Roman" w:eastAsia="Times New Roman"/>
                <w:sz w:val="21"/>
              </w:rPr>
              <w:t>2017 </w:t>
            </w:r>
            <w:r>
              <w:rPr>
                <w:sz w:val="21"/>
              </w:rPr>
              <w:t>年 </w:t>
            </w:r>
            <w:r>
              <w:rPr>
                <w:rFonts w:ascii="Times New Roman" w:eastAsia="Times New Roman"/>
                <w:sz w:val="21"/>
              </w:rPr>
              <w:t>10 </w:t>
            </w:r>
            <w:r>
              <w:rPr>
                <w:sz w:val="21"/>
              </w:rPr>
              <w:t>月 </w:t>
            </w:r>
            <w:r>
              <w:rPr>
                <w:rFonts w:ascii="Times New Roman" w:eastAsia="Times New Roman"/>
                <w:sz w:val="21"/>
              </w:rPr>
              <w:t>13 </w:t>
            </w:r>
            <w:r>
              <w:rPr>
                <w:sz w:val="21"/>
              </w:rPr>
              <w:t>日，取得项目建筑工程施工许可证；</w:t>
            </w:r>
          </w:p>
        </w:tc>
      </w:tr>
      <w:tr>
        <w:trPr>
          <w:trHeight w:val="371" w:hRule="atLeast"/>
        </w:trPr>
        <w:tc>
          <w:tcPr>
            <w:tcW w:w="2405" w:type="dxa"/>
            <w:tcBorders>
              <w:top w:val="nil"/>
              <w:bottom w:val="nil"/>
            </w:tcBorders>
          </w:tcPr>
          <w:p>
            <w:pPr>
              <w:pStyle w:val="TableParagraph"/>
              <w:rPr>
                <w:rFonts w:ascii="Times New Roman"/>
                <w:sz w:val="20"/>
              </w:rPr>
            </w:pPr>
          </w:p>
        </w:tc>
        <w:tc>
          <w:tcPr>
            <w:tcW w:w="5893" w:type="dxa"/>
            <w:tcBorders>
              <w:top w:val="nil"/>
              <w:bottom w:val="nil"/>
            </w:tcBorders>
          </w:tcPr>
          <w:p>
            <w:pPr>
              <w:pStyle w:val="TableParagraph"/>
              <w:spacing w:line="352" w:lineRule="exact"/>
              <w:ind w:left="108"/>
              <w:rPr>
                <w:sz w:val="21"/>
              </w:rPr>
            </w:pPr>
            <w:r>
              <w:rPr>
                <w:sz w:val="21"/>
              </w:rPr>
              <w:t>（</w:t>
            </w:r>
            <w:r>
              <w:rPr>
                <w:rFonts w:ascii="Times New Roman" w:eastAsia="Times New Roman"/>
                <w:sz w:val="21"/>
              </w:rPr>
              <w:t>6</w:t>
            </w:r>
            <w:r>
              <w:rPr>
                <w:sz w:val="21"/>
              </w:rPr>
              <w:t>）工程于 </w:t>
            </w:r>
            <w:r>
              <w:rPr>
                <w:rFonts w:ascii="Times New Roman" w:eastAsia="Times New Roman"/>
                <w:sz w:val="21"/>
              </w:rPr>
              <w:t>2017 </w:t>
            </w:r>
            <w:r>
              <w:rPr>
                <w:sz w:val="21"/>
              </w:rPr>
              <w:t>年 </w:t>
            </w:r>
            <w:r>
              <w:rPr>
                <w:rFonts w:ascii="Times New Roman" w:eastAsia="Times New Roman"/>
                <w:sz w:val="21"/>
              </w:rPr>
              <w:t>10 </w:t>
            </w:r>
            <w:r>
              <w:rPr>
                <w:sz w:val="21"/>
              </w:rPr>
              <w:t>月开工建设；</w:t>
            </w:r>
          </w:p>
        </w:tc>
      </w:tr>
      <w:tr>
        <w:trPr>
          <w:trHeight w:val="5250" w:hRule="atLeast"/>
        </w:trPr>
        <w:tc>
          <w:tcPr>
            <w:tcW w:w="2405" w:type="dxa"/>
            <w:tcBorders>
              <w:top w:val="nil"/>
            </w:tcBorders>
          </w:tcPr>
          <w:p>
            <w:pPr>
              <w:pStyle w:val="TableParagraph"/>
              <w:rPr>
                <w:rFonts w:ascii="Times New Roman"/>
                <w:sz w:val="20"/>
              </w:rPr>
            </w:pPr>
          </w:p>
        </w:tc>
        <w:tc>
          <w:tcPr>
            <w:tcW w:w="5893" w:type="dxa"/>
            <w:tcBorders>
              <w:top w:val="nil"/>
            </w:tcBorders>
          </w:tcPr>
          <w:p>
            <w:pPr>
              <w:pStyle w:val="TableParagraph"/>
              <w:spacing w:line="392" w:lineRule="exact"/>
              <w:ind w:left="108"/>
              <w:rPr>
                <w:sz w:val="21"/>
              </w:rPr>
            </w:pPr>
            <w:r>
              <w:rPr>
                <w:sz w:val="21"/>
              </w:rPr>
              <w:t>（</w:t>
            </w:r>
            <w:r>
              <w:rPr>
                <w:rFonts w:ascii="Times New Roman" w:eastAsia="Times New Roman"/>
                <w:sz w:val="21"/>
              </w:rPr>
              <w:t>7</w:t>
            </w:r>
            <w:r>
              <w:rPr>
                <w:sz w:val="21"/>
              </w:rPr>
              <w:t>）</w:t>
            </w:r>
            <w:r>
              <w:rPr>
                <w:rFonts w:ascii="Times New Roman" w:eastAsia="Times New Roman"/>
                <w:sz w:val="21"/>
              </w:rPr>
              <w:t>2019 </w:t>
            </w:r>
            <w:r>
              <w:rPr>
                <w:sz w:val="21"/>
              </w:rPr>
              <w:t>年 </w:t>
            </w:r>
            <w:r>
              <w:rPr>
                <w:rFonts w:ascii="Times New Roman" w:eastAsia="Times New Roman"/>
                <w:sz w:val="21"/>
              </w:rPr>
              <w:t>9 </w:t>
            </w:r>
            <w:r>
              <w:rPr>
                <w:sz w:val="21"/>
              </w:rPr>
              <w:t>月，项目基本完工，符合预验收工况条件。</w:t>
            </w:r>
          </w:p>
        </w:tc>
      </w:tr>
    </w:tbl>
    <w:p>
      <w:pPr>
        <w:spacing w:after="0" w:line="392" w:lineRule="exact"/>
        <w:rPr>
          <w:sz w:val="21"/>
        </w:rPr>
        <w:sectPr>
          <w:pgSz w:w="11910" w:h="16840"/>
          <w:pgMar w:header="877" w:footer="1146" w:top="1420" w:bottom="1340" w:left="1200" w:right="1340"/>
        </w:sectPr>
      </w:pPr>
    </w:p>
    <w:p>
      <w:pPr>
        <w:pStyle w:val="Heading1"/>
        <w:numPr>
          <w:ilvl w:val="0"/>
          <w:numId w:val="2"/>
        </w:numPr>
        <w:tabs>
          <w:tab w:pos="1020" w:val="left" w:leader="none"/>
          <w:tab w:pos="1021" w:val="left" w:leader="none"/>
        </w:tabs>
        <w:spacing w:line="645" w:lineRule="exact" w:before="0" w:after="0"/>
        <w:ind w:left="1020" w:right="0" w:hanging="420"/>
        <w:jc w:val="left"/>
        <w:rPr>
          <w:rFonts w:ascii="Noto Sans CJK JP Regular" w:eastAsia="Noto Sans CJK JP Regular" w:hint="eastAsia"/>
        </w:rPr>
      </w:pPr>
      <w:bookmarkStart w:name="_TOC_250009" w:id="2"/>
      <w:bookmarkEnd w:id="2"/>
      <w:r>
        <w:rPr>
          <w:rFonts w:ascii="Noto Sans CJK JP Regular" w:eastAsia="Noto Sans CJK JP Regular" w:hint="eastAsia"/>
        </w:rPr>
        <w:t>调查范围、因子、目标、重点等</w:t>
      </w:r>
    </w:p>
    <w:tbl>
      <w:tblPr>
        <w:tblW w:w="0" w:type="auto"/>
        <w:jc w:val="left"/>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7694"/>
      </w:tblGrid>
      <w:tr>
        <w:trPr>
          <w:trHeight w:val="706" w:hRule="atLeast"/>
        </w:trPr>
        <w:tc>
          <w:tcPr>
            <w:tcW w:w="605" w:type="dxa"/>
            <w:vMerge w:val="restart"/>
          </w:tcPr>
          <w:p>
            <w:pPr>
              <w:pStyle w:val="TableParagraph"/>
              <w:rPr>
                <w:sz w:val="20"/>
              </w:rPr>
            </w:pPr>
          </w:p>
          <w:p>
            <w:pPr>
              <w:pStyle w:val="TableParagraph"/>
              <w:rPr>
                <w:sz w:val="17"/>
              </w:rPr>
            </w:pPr>
          </w:p>
          <w:p>
            <w:pPr>
              <w:pStyle w:val="TableParagraph"/>
              <w:spacing w:line="168" w:lineRule="auto"/>
              <w:ind w:left="107" w:right="275"/>
              <w:jc w:val="both"/>
              <w:rPr>
                <w:sz w:val="21"/>
              </w:rPr>
            </w:pPr>
            <w:r>
              <w:rPr>
                <w:sz w:val="21"/>
              </w:rPr>
              <w:t>调查目的</w:t>
            </w:r>
          </w:p>
        </w:tc>
        <w:tc>
          <w:tcPr>
            <w:tcW w:w="7694" w:type="dxa"/>
            <w:tcBorders>
              <w:bottom w:val="nil"/>
            </w:tcBorders>
          </w:tcPr>
          <w:p>
            <w:pPr>
              <w:pStyle w:val="TableParagraph"/>
              <w:spacing w:line="355" w:lineRule="exact"/>
              <w:ind w:left="107"/>
              <w:rPr>
                <w:sz w:val="21"/>
              </w:rPr>
            </w:pPr>
            <w:r>
              <w:rPr>
                <w:rFonts w:ascii="Times New Roman" w:eastAsia="Times New Roman"/>
                <w:sz w:val="21"/>
              </w:rPr>
              <w:t>1</w:t>
            </w:r>
            <w:r>
              <w:rPr>
                <w:sz w:val="21"/>
              </w:rPr>
              <w:t>）核对项目的实际工程内容与环评相比有无变化，是否会带来新的环境影响，提</w:t>
            </w:r>
          </w:p>
          <w:p>
            <w:pPr>
              <w:pStyle w:val="TableParagraph"/>
              <w:spacing w:line="332" w:lineRule="exact"/>
              <w:ind w:left="107"/>
              <w:rPr>
                <w:sz w:val="21"/>
              </w:rPr>
            </w:pPr>
            <w:r>
              <w:rPr>
                <w:sz w:val="21"/>
              </w:rPr>
              <w:t>出环保措施和建议。</w:t>
            </w:r>
          </w:p>
        </w:tc>
      </w:tr>
      <w:tr>
        <w:trPr>
          <w:trHeight w:val="674" w:hRule="atLeast"/>
        </w:trPr>
        <w:tc>
          <w:tcPr>
            <w:tcW w:w="605" w:type="dxa"/>
            <w:vMerge/>
            <w:tcBorders>
              <w:top w:val="nil"/>
            </w:tcBorders>
          </w:tcPr>
          <w:p>
            <w:pPr>
              <w:rPr>
                <w:sz w:val="2"/>
                <w:szCs w:val="2"/>
              </w:rPr>
            </w:pPr>
          </w:p>
        </w:tc>
        <w:tc>
          <w:tcPr>
            <w:tcW w:w="7694" w:type="dxa"/>
            <w:tcBorders>
              <w:top w:val="nil"/>
              <w:bottom w:val="nil"/>
            </w:tcBorders>
          </w:tcPr>
          <w:p>
            <w:pPr>
              <w:pStyle w:val="TableParagraph"/>
              <w:spacing w:line="322" w:lineRule="exact"/>
              <w:ind w:left="107"/>
              <w:rPr>
                <w:sz w:val="21"/>
              </w:rPr>
            </w:pPr>
            <w:r>
              <w:rPr>
                <w:rFonts w:ascii="Times New Roman" w:eastAsia="Times New Roman"/>
                <w:sz w:val="21"/>
              </w:rPr>
              <w:t>2</w:t>
            </w:r>
            <w:r>
              <w:rPr>
                <w:sz w:val="21"/>
              </w:rPr>
              <w:t>）调查工程施工、运行等方面对设计文件环保要求、环境影响报告表及环评批复</w:t>
            </w:r>
          </w:p>
          <w:p>
            <w:pPr>
              <w:pStyle w:val="TableParagraph"/>
              <w:spacing w:line="332" w:lineRule="exact"/>
              <w:ind w:left="107"/>
              <w:rPr>
                <w:sz w:val="21"/>
              </w:rPr>
            </w:pPr>
            <w:r>
              <w:rPr>
                <w:w w:val="110"/>
                <w:sz w:val="21"/>
              </w:rPr>
              <w:t>意见的落实情况，调查工程</w:t>
            </w:r>
            <w:r>
              <w:rPr>
                <w:w w:val="195"/>
                <w:sz w:val="21"/>
              </w:rPr>
              <w:t>“</w:t>
            </w:r>
            <w:r>
              <w:rPr>
                <w:w w:val="110"/>
                <w:sz w:val="21"/>
              </w:rPr>
              <w:t>三同时</w:t>
            </w:r>
            <w:r>
              <w:rPr>
                <w:w w:val="195"/>
                <w:sz w:val="21"/>
              </w:rPr>
              <w:t>”</w:t>
            </w:r>
            <w:r>
              <w:rPr>
                <w:w w:val="110"/>
                <w:sz w:val="21"/>
              </w:rPr>
              <w:t>制度落实情况。</w:t>
            </w:r>
          </w:p>
        </w:tc>
      </w:tr>
      <w:tr>
        <w:trPr>
          <w:trHeight w:val="647" w:hRule="atLeast"/>
        </w:trPr>
        <w:tc>
          <w:tcPr>
            <w:tcW w:w="605" w:type="dxa"/>
            <w:vMerge/>
            <w:tcBorders>
              <w:top w:val="nil"/>
            </w:tcBorders>
          </w:tcPr>
          <w:p>
            <w:pPr>
              <w:rPr>
                <w:sz w:val="2"/>
                <w:szCs w:val="2"/>
              </w:rPr>
            </w:pPr>
          </w:p>
        </w:tc>
        <w:tc>
          <w:tcPr>
            <w:tcW w:w="7694" w:type="dxa"/>
            <w:tcBorders>
              <w:top w:val="nil"/>
              <w:bottom w:val="nil"/>
            </w:tcBorders>
          </w:tcPr>
          <w:p>
            <w:pPr>
              <w:pStyle w:val="TableParagraph"/>
              <w:spacing w:line="322" w:lineRule="exact"/>
              <w:ind w:left="107"/>
              <w:rPr>
                <w:sz w:val="21"/>
              </w:rPr>
            </w:pPr>
            <w:r>
              <w:rPr>
                <w:rFonts w:ascii="Times New Roman" w:eastAsia="Times New Roman"/>
                <w:sz w:val="21"/>
              </w:rPr>
              <w:t>3</w:t>
            </w:r>
            <w:r>
              <w:rPr>
                <w:sz w:val="21"/>
              </w:rPr>
              <w:t>）</w:t>
            </w:r>
            <w:r>
              <w:rPr>
                <w:spacing w:val="-3"/>
                <w:sz w:val="21"/>
              </w:rPr>
              <w:t>调查项目建成前后环境现状变化情况；调查项目建设带来的环境影响情况，通</w:t>
            </w:r>
          </w:p>
          <w:p>
            <w:pPr>
              <w:pStyle w:val="TableParagraph"/>
              <w:spacing w:line="305" w:lineRule="exact"/>
              <w:ind w:left="107"/>
              <w:rPr>
                <w:sz w:val="21"/>
              </w:rPr>
            </w:pPr>
            <w:r>
              <w:rPr>
                <w:spacing w:val="-10"/>
                <w:sz w:val="21"/>
              </w:rPr>
              <w:t>过环境监测，分析各项环保措施的有效性，针对已经产生的环境问题提出切实可行</w:t>
            </w:r>
          </w:p>
        </w:tc>
      </w:tr>
      <w:tr>
        <w:trPr>
          <w:trHeight w:val="328" w:hRule="atLeast"/>
        </w:trPr>
        <w:tc>
          <w:tcPr>
            <w:tcW w:w="605" w:type="dxa"/>
            <w:vMerge/>
            <w:tcBorders>
              <w:top w:val="nil"/>
            </w:tcBorders>
          </w:tcPr>
          <w:p>
            <w:pPr>
              <w:rPr>
                <w:sz w:val="2"/>
                <w:szCs w:val="2"/>
              </w:rPr>
            </w:pPr>
          </w:p>
        </w:tc>
        <w:tc>
          <w:tcPr>
            <w:tcW w:w="7694" w:type="dxa"/>
            <w:tcBorders>
              <w:top w:val="nil"/>
              <w:bottom w:val="nil"/>
            </w:tcBorders>
          </w:tcPr>
          <w:p>
            <w:pPr>
              <w:pStyle w:val="TableParagraph"/>
              <w:spacing w:line="309" w:lineRule="exact"/>
              <w:ind w:left="107"/>
              <w:rPr>
                <w:sz w:val="21"/>
              </w:rPr>
            </w:pPr>
            <w:r>
              <w:rPr>
                <w:sz w:val="21"/>
              </w:rPr>
              <w:t>的补救措施和应急措施。</w:t>
            </w:r>
          </w:p>
        </w:tc>
      </w:tr>
      <w:tr>
        <w:trPr>
          <w:trHeight w:val="339" w:hRule="atLeast"/>
        </w:trPr>
        <w:tc>
          <w:tcPr>
            <w:tcW w:w="605" w:type="dxa"/>
            <w:vMerge/>
            <w:tcBorders>
              <w:top w:val="nil"/>
            </w:tcBorders>
          </w:tcPr>
          <w:p>
            <w:pPr>
              <w:rPr>
                <w:sz w:val="2"/>
                <w:szCs w:val="2"/>
              </w:rPr>
            </w:pPr>
          </w:p>
        </w:tc>
        <w:tc>
          <w:tcPr>
            <w:tcW w:w="7694" w:type="dxa"/>
            <w:tcBorders>
              <w:top w:val="nil"/>
            </w:tcBorders>
          </w:tcPr>
          <w:p>
            <w:pPr>
              <w:pStyle w:val="TableParagraph"/>
              <w:spacing w:line="319" w:lineRule="exact"/>
              <w:ind w:left="107"/>
              <w:rPr>
                <w:sz w:val="21"/>
              </w:rPr>
            </w:pPr>
            <w:r>
              <w:rPr>
                <w:rFonts w:ascii="Times New Roman" w:eastAsia="Times New Roman"/>
                <w:sz w:val="21"/>
              </w:rPr>
              <w:t>4</w:t>
            </w:r>
            <w:r>
              <w:rPr>
                <w:sz w:val="21"/>
              </w:rPr>
              <w:t>）根据调查结果，客观公正的论证项目是否符合竣工环境保护预验收条件。</w:t>
            </w:r>
          </w:p>
        </w:tc>
      </w:tr>
      <w:tr>
        <w:trPr>
          <w:trHeight w:val="402" w:hRule="atLeast"/>
        </w:trPr>
        <w:tc>
          <w:tcPr>
            <w:tcW w:w="605" w:type="dxa"/>
            <w:vMerge w:val="restart"/>
          </w:tcPr>
          <w:p>
            <w:pPr>
              <w:pStyle w:val="TableParagraph"/>
              <w:spacing w:before="6"/>
              <w:rPr>
                <w:sz w:val="16"/>
              </w:rPr>
            </w:pPr>
          </w:p>
          <w:p>
            <w:pPr>
              <w:pStyle w:val="TableParagraph"/>
              <w:spacing w:line="168" w:lineRule="auto" w:before="1"/>
              <w:ind w:left="107" w:right="275"/>
              <w:jc w:val="both"/>
              <w:rPr>
                <w:sz w:val="21"/>
              </w:rPr>
            </w:pPr>
            <w:r>
              <w:rPr>
                <w:sz w:val="21"/>
              </w:rPr>
              <w:t>调查范围</w:t>
            </w:r>
          </w:p>
        </w:tc>
        <w:tc>
          <w:tcPr>
            <w:tcW w:w="7694" w:type="dxa"/>
            <w:tcBorders>
              <w:bottom w:val="nil"/>
            </w:tcBorders>
          </w:tcPr>
          <w:p>
            <w:pPr>
              <w:pStyle w:val="TableParagraph"/>
              <w:spacing w:line="383" w:lineRule="exact"/>
              <w:ind w:left="107"/>
              <w:rPr>
                <w:sz w:val="21"/>
              </w:rPr>
            </w:pPr>
            <w:r>
              <w:rPr>
                <w:rFonts w:ascii="Times New Roman" w:eastAsia="Times New Roman"/>
                <w:sz w:val="21"/>
              </w:rPr>
              <w:t>1</w:t>
            </w:r>
            <w:r>
              <w:rPr>
                <w:sz w:val="21"/>
              </w:rPr>
              <w:t>）水环境调查范围：项目区域附近地表水、纳污水体</w:t>
            </w:r>
          </w:p>
        </w:tc>
      </w:tr>
      <w:tr>
        <w:trPr>
          <w:trHeight w:val="362" w:hRule="atLeast"/>
        </w:trPr>
        <w:tc>
          <w:tcPr>
            <w:tcW w:w="605" w:type="dxa"/>
            <w:vMerge/>
            <w:tcBorders>
              <w:top w:val="nil"/>
            </w:tcBorders>
          </w:tcPr>
          <w:p>
            <w:pPr>
              <w:rPr>
                <w:sz w:val="2"/>
                <w:szCs w:val="2"/>
              </w:rPr>
            </w:pPr>
          </w:p>
        </w:tc>
        <w:tc>
          <w:tcPr>
            <w:tcW w:w="7694" w:type="dxa"/>
            <w:tcBorders>
              <w:top w:val="nil"/>
              <w:bottom w:val="nil"/>
            </w:tcBorders>
          </w:tcPr>
          <w:p>
            <w:pPr>
              <w:pStyle w:val="TableParagraph"/>
              <w:spacing w:line="342" w:lineRule="exact"/>
              <w:ind w:left="107"/>
              <w:rPr>
                <w:sz w:val="21"/>
              </w:rPr>
            </w:pPr>
            <w:r>
              <w:rPr>
                <w:rFonts w:ascii="Times New Roman" w:eastAsia="Times New Roman"/>
                <w:sz w:val="21"/>
              </w:rPr>
              <w:t>2</w:t>
            </w:r>
            <w:r>
              <w:rPr>
                <w:sz w:val="21"/>
              </w:rPr>
              <w:t>）声环境调查范围：项目区域内及场界外 </w:t>
            </w:r>
            <w:r>
              <w:rPr>
                <w:rFonts w:ascii="Times New Roman" w:eastAsia="Times New Roman"/>
                <w:sz w:val="21"/>
              </w:rPr>
              <w:t>1 m</w:t>
            </w:r>
            <w:r>
              <w:rPr>
                <w:sz w:val="21"/>
              </w:rPr>
              <w:t>；</w:t>
            </w:r>
          </w:p>
        </w:tc>
      </w:tr>
      <w:tr>
        <w:trPr>
          <w:trHeight w:val="362" w:hRule="atLeast"/>
        </w:trPr>
        <w:tc>
          <w:tcPr>
            <w:tcW w:w="605" w:type="dxa"/>
            <w:vMerge/>
            <w:tcBorders>
              <w:top w:val="nil"/>
            </w:tcBorders>
          </w:tcPr>
          <w:p>
            <w:pPr>
              <w:rPr>
                <w:sz w:val="2"/>
                <w:szCs w:val="2"/>
              </w:rPr>
            </w:pPr>
          </w:p>
        </w:tc>
        <w:tc>
          <w:tcPr>
            <w:tcW w:w="7694" w:type="dxa"/>
            <w:tcBorders>
              <w:top w:val="nil"/>
              <w:bottom w:val="nil"/>
            </w:tcBorders>
          </w:tcPr>
          <w:p>
            <w:pPr>
              <w:pStyle w:val="TableParagraph"/>
              <w:spacing w:line="342" w:lineRule="exact"/>
              <w:ind w:left="107"/>
              <w:rPr>
                <w:sz w:val="21"/>
              </w:rPr>
            </w:pPr>
            <w:r>
              <w:rPr>
                <w:rFonts w:ascii="Times New Roman" w:eastAsia="Times New Roman"/>
                <w:sz w:val="21"/>
              </w:rPr>
              <w:t>3</w:t>
            </w:r>
            <w:r>
              <w:rPr>
                <w:sz w:val="21"/>
              </w:rPr>
              <w:t>）环境空气调查范围：项目区域内及周围环境空气质量；</w:t>
            </w:r>
          </w:p>
        </w:tc>
      </w:tr>
      <w:tr>
        <w:trPr>
          <w:trHeight w:val="361" w:hRule="atLeast"/>
        </w:trPr>
        <w:tc>
          <w:tcPr>
            <w:tcW w:w="605" w:type="dxa"/>
            <w:vMerge/>
            <w:tcBorders>
              <w:top w:val="nil"/>
            </w:tcBorders>
          </w:tcPr>
          <w:p>
            <w:pPr>
              <w:rPr>
                <w:sz w:val="2"/>
                <w:szCs w:val="2"/>
              </w:rPr>
            </w:pPr>
          </w:p>
        </w:tc>
        <w:tc>
          <w:tcPr>
            <w:tcW w:w="7694" w:type="dxa"/>
            <w:tcBorders>
              <w:top w:val="nil"/>
              <w:bottom w:val="nil"/>
            </w:tcBorders>
          </w:tcPr>
          <w:p>
            <w:pPr>
              <w:pStyle w:val="TableParagraph"/>
              <w:spacing w:line="342" w:lineRule="exact"/>
              <w:ind w:left="107"/>
              <w:rPr>
                <w:sz w:val="21"/>
              </w:rPr>
            </w:pPr>
            <w:r>
              <w:rPr>
                <w:rFonts w:ascii="Times New Roman" w:eastAsia="Times New Roman"/>
                <w:sz w:val="21"/>
              </w:rPr>
              <w:t>4</w:t>
            </w:r>
            <w:r>
              <w:rPr>
                <w:sz w:val="21"/>
              </w:rPr>
              <w:t>）生态环境调查范围：项目场地红线范围内；</w:t>
            </w:r>
          </w:p>
        </w:tc>
      </w:tr>
      <w:tr>
        <w:trPr>
          <w:trHeight w:val="331" w:hRule="atLeast"/>
        </w:trPr>
        <w:tc>
          <w:tcPr>
            <w:tcW w:w="605" w:type="dxa"/>
            <w:vMerge/>
            <w:tcBorders>
              <w:top w:val="nil"/>
            </w:tcBorders>
          </w:tcPr>
          <w:p>
            <w:pPr>
              <w:rPr>
                <w:sz w:val="2"/>
                <w:szCs w:val="2"/>
              </w:rPr>
            </w:pPr>
          </w:p>
        </w:tc>
        <w:tc>
          <w:tcPr>
            <w:tcW w:w="7694" w:type="dxa"/>
            <w:tcBorders>
              <w:top w:val="nil"/>
            </w:tcBorders>
          </w:tcPr>
          <w:p>
            <w:pPr>
              <w:pStyle w:val="TableParagraph"/>
              <w:spacing w:line="311" w:lineRule="exact"/>
              <w:ind w:left="107"/>
              <w:rPr>
                <w:sz w:val="21"/>
              </w:rPr>
            </w:pPr>
            <w:r>
              <w:rPr>
                <w:rFonts w:ascii="Times New Roman" w:eastAsia="Times New Roman"/>
                <w:sz w:val="21"/>
              </w:rPr>
              <w:t>5</w:t>
            </w:r>
            <w:r>
              <w:rPr>
                <w:sz w:val="21"/>
              </w:rPr>
              <w:t>）施工区调查范围：施工现场、建筑材料堆放场、施工生活区及施工道路等。</w:t>
            </w:r>
          </w:p>
        </w:tc>
      </w:tr>
      <w:tr>
        <w:trPr>
          <w:trHeight w:val="402" w:hRule="atLeast"/>
        </w:trPr>
        <w:tc>
          <w:tcPr>
            <w:tcW w:w="605" w:type="dxa"/>
            <w:vMerge w:val="restart"/>
          </w:tcPr>
          <w:p>
            <w:pPr>
              <w:pStyle w:val="TableParagraph"/>
              <w:spacing w:before="6"/>
              <w:rPr>
                <w:sz w:val="16"/>
              </w:rPr>
            </w:pPr>
          </w:p>
          <w:p>
            <w:pPr>
              <w:pStyle w:val="TableParagraph"/>
              <w:spacing w:line="168" w:lineRule="auto"/>
              <w:ind w:left="107" w:right="275"/>
              <w:jc w:val="both"/>
              <w:rPr>
                <w:sz w:val="21"/>
              </w:rPr>
            </w:pPr>
            <w:r>
              <w:rPr>
                <w:sz w:val="21"/>
              </w:rPr>
              <w:t>调查因子</w:t>
            </w:r>
          </w:p>
        </w:tc>
        <w:tc>
          <w:tcPr>
            <w:tcW w:w="7694" w:type="dxa"/>
            <w:tcBorders>
              <w:bottom w:val="nil"/>
            </w:tcBorders>
          </w:tcPr>
          <w:p>
            <w:pPr>
              <w:pStyle w:val="TableParagraph"/>
              <w:spacing w:line="382" w:lineRule="exact"/>
              <w:ind w:left="107"/>
              <w:rPr>
                <w:sz w:val="21"/>
              </w:rPr>
            </w:pPr>
            <w:r>
              <w:rPr>
                <w:rFonts w:ascii="Times New Roman" w:eastAsia="Times New Roman"/>
                <w:sz w:val="21"/>
              </w:rPr>
              <w:t>1</w:t>
            </w:r>
            <w:r>
              <w:rPr>
                <w:sz w:val="21"/>
              </w:rPr>
              <w:t>）声环境（施工期、运营期）：等效声级 </w:t>
            </w:r>
            <w:r>
              <w:rPr>
                <w:rFonts w:ascii="Times New Roman" w:eastAsia="Times New Roman"/>
                <w:sz w:val="21"/>
              </w:rPr>
              <w:t>LAeq</w:t>
            </w:r>
            <w:r>
              <w:rPr>
                <w:sz w:val="21"/>
              </w:rPr>
              <w:t>。</w:t>
            </w:r>
          </w:p>
        </w:tc>
      </w:tr>
      <w:tr>
        <w:trPr>
          <w:trHeight w:val="362" w:hRule="atLeast"/>
        </w:trPr>
        <w:tc>
          <w:tcPr>
            <w:tcW w:w="605" w:type="dxa"/>
            <w:vMerge/>
            <w:tcBorders>
              <w:top w:val="nil"/>
            </w:tcBorders>
          </w:tcPr>
          <w:p>
            <w:pPr>
              <w:rPr>
                <w:sz w:val="2"/>
                <w:szCs w:val="2"/>
              </w:rPr>
            </w:pPr>
          </w:p>
        </w:tc>
        <w:tc>
          <w:tcPr>
            <w:tcW w:w="7694" w:type="dxa"/>
            <w:tcBorders>
              <w:top w:val="nil"/>
              <w:bottom w:val="nil"/>
            </w:tcBorders>
          </w:tcPr>
          <w:p>
            <w:pPr>
              <w:pStyle w:val="TableParagraph"/>
              <w:spacing w:line="342" w:lineRule="exact"/>
              <w:ind w:left="107"/>
              <w:rPr>
                <w:sz w:val="21"/>
              </w:rPr>
            </w:pPr>
            <w:r>
              <w:rPr>
                <w:rFonts w:ascii="Times New Roman" w:eastAsia="Times New Roman"/>
                <w:sz w:val="21"/>
              </w:rPr>
              <w:t>2</w:t>
            </w:r>
            <w:r>
              <w:rPr>
                <w:sz w:val="21"/>
              </w:rPr>
              <w:t>）水环境：生活污水中 </w:t>
            </w:r>
            <w:r>
              <w:rPr>
                <w:rFonts w:ascii="Times New Roman" w:eastAsia="Times New Roman"/>
                <w:sz w:val="21"/>
              </w:rPr>
              <w:t>pH</w:t>
            </w:r>
            <w:r>
              <w:rPr>
                <w:sz w:val="21"/>
              </w:rPr>
              <w:t>、</w:t>
            </w:r>
            <w:r>
              <w:rPr>
                <w:rFonts w:ascii="Times New Roman" w:eastAsia="Times New Roman"/>
                <w:sz w:val="21"/>
              </w:rPr>
              <w:t>COD</w:t>
            </w:r>
            <w:r>
              <w:rPr>
                <w:sz w:val="21"/>
              </w:rPr>
              <w:t>、氨氮等。</w:t>
            </w:r>
          </w:p>
        </w:tc>
      </w:tr>
      <w:tr>
        <w:trPr>
          <w:trHeight w:val="361" w:hRule="atLeast"/>
        </w:trPr>
        <w:tc>
          <w:tcPr>
            <w:tcW w:w="605" w:type="dxa"/>
            <w:vMerge/>
            <w:tcBorders>
              <w:top w:val="nil"/>
            </w:tcBorders>
          </w:tcPr>
          <w:p>
            <w:pPr>
              <w:rPr>
                <w:sz w:val="2"/>
                <w:szCs w:val="2"/>
              </w:rPr>
            </w:pPr>
          </w:p>
        </w:tc>
        <w:tc>
          <w:tcPr>
            <w:tcW w:w="7694" w:type="dxa"/>
            <w:tcBorders>
              <w:top w:val="nil"/>
              <w:bottom w:val="nil"/>
            </w:tcBorders>
          </w:tcPr>
          <w:p>
            <w:pPr>
              <w:pStyle w:val="TableParagraph"/>
              <w:spacing w:line="342" w:lineRule="exact"/>
              <w:ind w:left="107"/>
              <w:rPr>
                <w:sz w:val="21"/>
              </w:rPr>
            </w:pPr>
            <w:r>
              <w:rPr>
                <w:rFonts w:ascii="Times New Roman" w:eastAsia="Times New Roman"/>
                <w:sz w:val="21"/>
              </w:rPr>
              <w:t>3</w:t>
            </w:r>
            <w:r>
              <w:rPr>
                <w:sz w:val="21"/>
              </w:rPr>
              <w:t>）大气环境：施工期施工扬尘 </w:t>
            </w:r>
            <w:r>
              <w:rPr>
                <w:rFonts w:ascii="Times New Roman" w:eastAsia="Times New Roman"/>
                <w:sz w:val="21"/>
              </w:rPr>
              <w:t>TSP </w:t>
            </w:r>
            <w:r>
              <w:rPr>
                <w:sz w:val="21"/>
              </w:rPr>
              <w:t>等。</w:t>
            </w:r>
          </w:p>
        </w:tc>
      </w:tr>
      <w:tr>
        <w:trPr>
          <w:trHeight w:val="362" w:hRule="atLeast"/>
        </w:trPr>
        <w:tc>
          <w:tcPr>
            <w:tcW w:w="605" w:type="dxa"/>
            <w:vMerge/>
            <w:tcBorders>
              <w:top w:val="nil"/>
            </w:tcBorders>
          </w:tcPr>
          <w:p>
            <w:pPr>
              <w:rPr>
                <w:sz w:val="2"/>
                <w:szCs w:val="2"/>
              </w:rPr>
            </w:pPr>
          </w:p>
        </w:tc>
        <w:tc>
          <w:tcPr>
            <w:tcW w:w="7694" w:type="dxa"/>
            <w:tcBorders>
              <w:top w:val="nil"/>
              <w:bottom w:val="nil"/>
            </w:tcBorders>
          </w:tcPr>
          <w:p>
            <w:pPr>
              <w:pStyle w:val="TableParagraph"/>
              <w:spacing w:line="342" w:lineRule="exact"/>
              <w:ind w:left="107"/>
              <w:rPr>
                <w:sz w:val="21"/>
              </w:rPr>
            </w:pPr>
            <w:r>
              <w:rPr>
                <w:rFonts w:ascii="Times New Roman" w:eastAsia="Times New Roman"/>
                <w:sz w:val="21"/>
              </w:rPr>
              <w:t>4</w:t>
            </w:r>
            <w:r>
              <w:rPr>
                <w:sz w:val="21"/>
              </w:rPr>
              <w:t>）固体废弃物：施工期工程弃渣、生活垃圾处置情况；运营期生活垃圾处置。</w:t>
            </w:r>
          </w:p>
        </w:tc>
      </w:tr>
      <w:tr>
        <w:trPr>
          <w:trHeight w:val="331" w:hRule="atLeast"/>
        </w:trPr>
        <w:tc>
          <w:tcPr>
            <w:tcW w:w="605" w:type="dxa"/>
            <w:vMerge/>
            <w:tcBorders>
              <w:top w:val="nil"/>
            </w:tcBorders>
          </w:tcPr>
          <w:p>
            <w:pPr>
              <w:rPr>
                <w:sz w:val="2"/>
                <w:szCs w:val="2"/>
              </w:rPr>
            </w:pPr>
          </w:p>
        </w:tc>
        <w:tc>
          <w:tcPr>
            <w:tcW w:w="7694" w:type="dxa"/>
            <w:tcBorders>
              <w:top w:val="nil"/>
            </w:tcBorders>
          </w:tcPr>
          <w:p>
            <w:pPr>
              <w:pStyle w:val="TableParagraph"/>
              <w:spacing w:line="311" w:lineRule="exact"/>
              <w:ind w:left="107"/>
              <w:rPr>
                <w:sz w:val="21"/>
              </w:rPr>
            </w:pPr>
            <w:r>
              <w:rPr>
                <w:rFonts w:ascii="Times New Roman" w:eastAsia="Times New Roman"/>
                <w:sz w:val="21"/>
              </w:rPr>
              <w:t>5</w:t>
            </w:r>
            <w:r>
              <w:rPr>
                <w:sz w:val="21"/>
              </w:rPr>
              <w:t>）生态环境：绿化、水土流失等。</w:t>
            </w:r>
          </w:p>
        </w:tc>
      </w:tr>
      <w:tr>
        <w:trPr>
          <w:trHeight w:val="992" w:hRule="atLeast"/>
        </w:trPr>
        <w:tc>
          <w:tcPr>
            <w:tcW w:w="605" w:type="dxa"/>
            <w:vMerge w:val="restart"/>
          </w:tcPr>
          <w:p>
            <w:pPr>
              <w:pStyle w:val="TableParagraph"/>
              <w:spacing w:before="12"/>
              <w:rPr>
                <w:sz w:val="26"/>
              </w:rPr>
            </w:pPr>
          </w:p>
          <w:p>
            <w:pPr>
              <w:pStyle w:val="TableParagraph"/>
              <w:spacing w:line="168" w:lineRule="auto"/>
              <w:ind w:left="107" w:right="275"/>
              <w:jc w:val="both"/>
              <w:rPr>
                <w:sz w:val="21"/>
              </w:rPr>
            </w:pPr>
            <w:r>
              <w:rPr>
                <w:sz w:val="21"/>
              </w:rPr>
              <w:t>环境敏感目标</w:t>
            </w:r>
          </w:p>
        </w:tc>
        <w:tc>
          <w:tcPr>
            <w:tcW w:w="7694" w:type="dxa"/>
            <w:tcBorders>
              <w:bottom w:val="nil"/>
            </w:tcBorders>
          </w:tcPr>
          <w:p>
            <w:pPr>
              <w:pStyle w:val="TableParagraph"/>
              <w:rPr>
                <w:sz w:val="12"/>
              </w:rPr>
            </w:pPr>
          </w:p>
          <w:p>
            <w:pPr>
              <w:pStyle w:val="TableParagraph"/>
              <w:spacing w:line="379" w:lineRule="exact"/>
              <w:ind w:left="107"/>
              <w:rPr>
                <w:sz w:val="21"/>
              </w:rPr>
            </w:pPr>
            <w:r>
              <w:rPr>
                <w:rFonts w:ascii="Times New Roman" w:eastAsia="Times New Roman"/>
                <w:sz w:val="21"/>
              </w:rPr>
              <w:t>1 </w:t>
            </w:r>
            <w:r>
              <w:rPr>
                <w:sz w:val="21"/>
              </w:rPr>
              <w:t>） 环境空气： 项目所在地区域环境空气质量执行《环境空气质量标准》</w:t>
            </w:r>
          </w:p>
          <w:p>
            <w:pPr>
              <w:pStyle w:val="TableParagraph"/>
              <w:spacing w:line="340" w:lineRule="exact"/>
              <w:ind w:left="107"/>
              <w:rPr>
                <w:sz w:val="21"/>
              </w:rPr>
            </w:pPr>
            <w:r>
              <w:rPr>
                <w:sz w:val="21"/>
              </w:rPr>
              <w:t>（</w:t>
            </w:r>
            <w:r>
              <w:rPr>
                <w:rFonts w:ascii="Times New Roman" w:eastAsia="Times New Roman"/>
                <w:sz w:val="21"/>
              </w:rPr>
              <w:t>GB3095-2012</w:t>
            </w:r>
            <w:r>
              <w:rPr>
                <w:sz w:val="21"/>
              </w:rPr>
              <w:t>）中的一类区标准。</w:t>
            </w:r>
          </w:p>
        </w:tc>
      </w:tr>
      <w:tr>
        <w:trPr>
          <w:trHeight w:val="978" w:hRule="atLeast"/>
        </w:trPr>
        <w:tc>
          <w:tcPr>
            <w:tcW w:w="605" w:type="dxa"/>
            <w:vMerge/>
            <w:tcBorders>
              <w:top w:val="nil"/>
            </w:tcBorders>
          </w:tcPr>
          <w:p>
            <w:pPr>
              <w:rPr>
                <w:sz w:val="2"/>
                <w:szCs w:val="2"/>
              </w:rPr>
            </w:pPr>
          </w:p>
        </w:tc>
        <w:tc>
          <w:tcPr>
            <w:tcW w:w="7694" w:type="dxa"/>
            <w:tcBorders>
              <w:top w:val="nil"/>
              <w:bottom w:val="nil"/>
            </w:tcBorders>
          </w:tcPr>
          <w:p>
            <w:pPr>
              <w:pStyle w:val="TableParagraph"/>
              <w:spacing w:line="168" w:lineRule="auto" w:before="29"/>
              <w:ind w:left="107" w:right="-15"/>
              <w:rPr>
                <w:sz w:val="21"/>
              </w:rPr>
            </w:pPr>
            <w:r>
              <w:rPr>
                <w:rFonts w:ascii="Times New Roman" w:hAnsi="Times New Roman" w:eastAsia="Times New Roman"/>
                <w:spacing w:val="-3"/>
                <w:sz w:val="21"/>
              </w:rPr>
              <w:t>2</w:t>
            </w:r>
            <w:r>
              <w:rPr>
                <w:spacing w:val="-3"/>
                <w:sz w:val="21"/>
              </w:rPr>
              <w:t>）</w:t>
            </w:r>
            <w:r>
              <w:rPr>
                <w:spacing w:val="-6"/>
                <w:sz w:val="21"/>
              </w:rPr>
              <w:t>地表水：项目临近的东钱湖水体执行《地表水环境质量标准》</w:t>
            </w:r>
            <w:r>
              <w:rPr>
                <w:sz w:val="21"/>
              </w:rPr>
              <w:t>（</w:t>
            </w:r>
            <w:r>
              <w:rPr>
                <w:rFonts w:ascii="Times New Roman" w:hAnsi="Times New Roman" w:eastAsia="Times New Roman"/>
                <w:sz w:val="21"/>
              </w:rPr>
              <w:t>GB3838-2002</w:t>
            </w:r>
            <w:r>
              <w:rPr>
                <w:sz w:val="21"/>
              </w:rPr>
              <w:t>） </w:t>
            </w:r>
            <w:r>
              <w:rPr>
                <w:spacing w:val="-10"/>
                <w:sz w:val="21"/>
              </w:rPr>
              <w:t>中二类标准；项目纳污水体</w:t>
            </w:r>
            <w:r>
              <w:rPr>
                <w:rFonts w:ascii="Times New Roman" w:hAnsi="Times New Roman" w:eastAsia="Times New Roman"/>
                <w:sz w:val="21"/>
              </w:rPr>
              <w:t>—</w:t>
            </w:r>
            <w:r>
              <w:rPr>
                <w:spacing w:val="-14"/>
                <w:sz w:val="21"/>
              </w:rPr>
              <w:t>奉化江，执行《地表水环境质量标准</w:t>
            </w:r>
            <w:r>
              <w:rPr>
                <w:spacing w:val="-137"/>
                <w:sz w:val="21"/>
              </w:rPr>
              <w:t>》</w:t>
            </w:r>
            <w:r>
              <w:rPr>
                <w:sz w:val="21"/>
              </w:rPr>
              <w:t>（</w:t>
            </w:r>
            <w:r>
              <w:rPr>
                <w:rFonts w:ascii="Times New Roman" w:hAnsi="Times New Roman" w:eastAsia="Times New Roman"/>
                <w:sz w:val="21"/>
              </w:rPr>
              <w:t>GB3838-2002</w:t>
            </w:r>
            <w:r>
              <w:rPr>
                <w:sz w:val="21"/>
              </w:rPr>
              <w:t>）</w:t>
            </w:r>
          </w:p>
          <w:p>
            <w:pPr>
              <w:pStyle w:val="TableParagraph"/>
              <w:spacing w:line="306" w:lineRule="exact"/>
              <w:ind w:left="107"/>
              <w:rPr>
                <w:sz w:val="21"/>
              </w:rPr>
            </w:pPr>
            <w:r>
              <w:rPr>
                <w:sz w:val="21"/>
              </w:rPr>
              <w:t>中四类标准。</w:t>
            </w:r>
          </w:p>
        </w:tc>
      </w:tr>
      <w:tr>
        <w:trPr>
          <w:trHeight w:val="927" w:hRule="atLeast"/>
        </w:trPr>
        <w:tc>
          <w:tcPr>
            <w:tcW w:w="605" w:type="dxa"/>
            <w:vMerge/>
            <w:tcBorders>
              <w:top w:val="nil"/>
            </w:tcBorders>
          </w:tcPr>
          <w:p>
            <w:pPr>
              <w:rPr>
                <w:sz w:val="2"/>
                <w:szCs w:val="2"/>
              </w:rPr>
            </w:pPr>
          </w:p>
        </w:tc>
        <w:tc>
          <w:tcPr>
            <w:tcW w:w="7694" w:type="dxa"/>
            <w:tcBorders>
              <w:top w:val="nil"/>
            </w:tcBorders>
          </w:tcPr>
          <w:p>
            <w:pPr>
              <w:pStyle w:val="TableParagraph"/>
              <w:spacing w:line="322" w:lineRule="exact"/>
              <w:ind w:left="107" w:right="-15"/>
              <w:rPr>
                <w:sz w:val="21"/>
              </w:rPr>
            </w:pPr>
            <w:r>
              <w:rPr>
                <w:rFonts w:ascii="Times New Roman" w:eastAsia="Times New Roman"/>
                <w:spacing w:val="-3"/>
                <w:sz w:val="21"/>
              </w:rPr>
              <w:t>3</w:t>
            </w:r>
            <w:r>
              <w:rPr>
                <w:spacing w:val="-3"/>
                <w:sz w:val="21"/>
              </w:rPr>
              <w:t>）</w:t>
            </w:r>
            <w:r>
              <w:rPr>
                <w:spacing w:val="-6"/>
                <w:sz w:val="21"/>
              </w:rPr>
              <w:t>声环境：本项目所在区域声环境质量执行《声环境质量标准》</w:t>
            </w:r>
            <w:r>
              <w:rPr>
                <w:sz w:val="21"/>
              </w:rPr>
              <w:t>（</w:t>
            </w:r>
            <w:r>
              <w:rPr>
                <w:rFonts w:ascii="Times New Roman" w:eastAsia="Times New Roman"/>
                <w:sz w:val="21"/>
              </w:rPr>
              <w:t>GB3096-2008</w:t>
            </w:r>
            <w:r>
              <w:rPr>
                <w:sz w:val="21"/>
              </w:rPr>
              <w:t>）</w:t>
            </w:r>
          </w:p>
          <w:p>
            <w:pPr>
              <w:pStyle w:val="TableParagraph"/>
              <w:spacing w:line="379" w:lineRule="exact"/>
              <w:ind w:left="107"/>
              <w:rPr>
                <w:sz w:val="21"/>
              </w:rPr>
            </w:pPr>
            <w:r>
              <w:rPr>
                <w:rFonts w:ascii="Times New Roman" w:eastAsia="Times New Roman"/>
                <w:sz w:val="21"/>
              </w:rPr>
              <w:t>1 </w:t>
            </w:r>
            <w:r>
              <w:rPr>
                <w:sz w:val="21"/>
              </w:rPr>
              <w:t>类区标准，即昼间 </w:t>
            </w:r>
            <w:r>
              <w:rPr>
                <w:rFonts w:ascii="Times New Roman" w:eastAsia="Times New Roman"/>
                <w:sz w:val="21"/>
              </w:rPr>
              <w:t>55dBA</w:t>
            </w:r>
            <w:r>
              <w:rPr>
                <w:sz w:val="21"/>
              </w:rPr>
              <w:t>、夜间 </w:t>
            </w:r>
            <w:r>
              <w:rPr>
                <w:rFonts w:ascii="Times New Roman" w:eastAsia="Times New Roman"/>
                <w:sz w:val="21"/>
              </w:rPr>
              <w:t>45dBA</w:t>
            </w:r>
            <w:r>
              <w:rPr>
                <w:sz w:val="21"/>
              </w:rPr>
              <w:t>。</w:t>
            </w:r>
          </w:p>
        </w:tc>
      </w:tr>
      <w:tr>
        <w:trPr>
          <w:trHeight w:val="2316" w:hRule="atLeast"/>
        </w:trPr>
        <w:tc>
          <w:tcPr>
            <w:tcW w:w="605" w:type="dxa"/>
            <w:vMerge w:val="restart"/>
          </w:tcPr>
          <w:p>
            <w:pPr>
              <w:pStyle w:val="TableParagraph"/>
              <w:rPr>
                <w:sz w:val="20"/>
              </w:rPr>
            </w:pPr>
          </w:p>
          <w:p>
            <w:pPr>
              <w:pStyle w:val="TableParagraph"/>
              <w:rPr>
                <w:sz w:val="20"/>
              </w:rPr>
            </w:pPr>
          </w:p>
          <w:p>
            <w:pPr>
              <w:pStyle w:val="TableParagraph"/>
              <w:spacing w:before="8"/>
              <w:rPr>
                <w:sz w:val="12"/>
              </w:rPr>
            </w:pPr>
          </w:p>
          <w:p>
            <w:pPr>
              <w:pStyle w:val="TableParagraph"/>
              <w:spacing w:line="168" w:lineRule="auto"/>
              <w:ind w:left="107" w:right="275"/>
              <w:jc w:val="both"/>
              <w:rPr>
                <w:sz w:val="21"/>
              </w:rPr>
            </w:pPr>
            <w:r>
              <w:rPr>
                <w:sz w:val="21"/>
              </w:rPr>
              <w:t>调查重点</w:t>
            </w:r>
          </w:p>
        </w:tc>
        <w:tc>
          <w:tcPr>
            <w:tcW w:w="7694" w:type="dxa"/>
            <w:tcBorders>
              <w:bottom w:val="nil"/>
            </w:tcBorders>
          </w:tcPr>
          <w:p>
            <w:pPr>
              <w:pStyle w:val="TableParagraph"/>
              <w:spacing w:before="17"/>
              <w:rPr>
                <w:sz w:val="18"/>
              </w:rPr>
            </w:pPr>
          </w:p>
          <w:p>
            <w:pPr>
              <w:pStyle w:val="TableParagraph"/>
              <w:spacing w:line="409" w:lineRule="exact"/>
              <w:ind w:left="107"/>
              <w:rPr>
                <w:sz w:val="21"/>
              </w:rPr>
            </w:pPr>
            <w:r>
              <w:rPr>
                <w:rFonts w:ascii="Times New Roman" w:eastAsia="Times New Roman"/>
                <w:sz w:val="21"/>
              </w:rPr>
              <w:t>1</w:t>
            </w:r>
            <w:r>
              <w:rPr>
                <w:sz w:val="21"/>
              </w:rPr>
              <w:t>）工程内容：与环评对比，项目内容更改情况，有无引起新的环境问题；</w:t>
            </w:r>
          </w:p>
          <w:p>
            <w:pPr>
              <w:pStyle w:val="TableParagraph"/>
              <w:spacing w:line="372" w:lineRule="exact"/>
              <w:ind w:left="107"/>
              <w:rPr>
                <w:sz w:val="21"/>
              </w:rPr>
            </w:pPr>
            <w:r>
              <w:rPr>
                <w:rFonts w:ascii="Times New Roman" w:eastAsia="Times New Roman"/>
                <w:sz w:val="21"/>
              </w:rPr>
              <w:t>2</w:t>
            </w:r>
            <w:r>
              <w:rPr>
                <w:sz w:val="21"/>
              </w:rPr>
              <w:t>）水泵、风机、空调机房等隔声减震吸声措施落实情况；</w:t>
            </w:r>
          </w:p>
          <w:p>
            <w:pPr>
              <w:pStyle w:val="TableParagraph"/>
              <w:spacing w:line="372" w:lineRule="exact"/>
              <w:ind w:left="107"/>
              <w:rPr>
                <w:sz w:val="21"/>
              </w:rPr>
            </w:pPr>
            <w:r>
              <w:rPr>
                <w:rFonts w:ascii="Times New Roman" w:eastAsia="Times New Roman"/>
                <w:sz w:val="21"/>
              </w:rPr>
              <w:t>3</w:t>
            </w:r>
            <w:r>
              <w:rPr>
                <w:sz w:val="21"/>
              </w:rPr>
              <w:t>）施工期及运营期废水排放去向，雨污分流及管网建设情况；</w:t>
            </w:r>
          </w:p>
          <w:p>
            <w:pPr>
              <w:pStyle w:val="TableParagraph"/>
              <w:spacing w:line="372" w:lineRule="exact"/>
              <w:ind w:left="107"/>
              <w:rPr>
                <w:sz w:val="21"/>
              </w:rPr>
            </w:pPr>
            <w:r>
              <w:rPr>
                <w:rFonts w:ascii="Times New Roman" w:eastAsia="Times New Roman"/>
                <w:sz w:val="21"/>
              </w:rPr>
              <w:t>4</w:t>
            </w:r>
            <w:r>
              <w:rPr>
                <w:sz w:val="21"/>
              </w:rPr>
              <w:t>）施工期泥浆水沉淀、洒水抑尘、环保投诉等情况调查；</w:t>
            </w:r>
          </w:p>
          <w:p>
            <w:pPr>
              <w:pStyle w:val="TableParagraph"/>
              <w:spacing w:line="373" w:lineRule="exact"/>
              <w:ind w:left="107"/>
              <w:rPr>
                <w:sz w:val="21"/>
              </w:rPr>
            </w:pPr>
            <w:r>
              <w:rPr>
                <w:rFonts w:ascii="Times New Roman" w:eastAsia="Times New Roman"/>
                <w:sz w:val="21"/>
              </w:rPr>
              <w:t>5</w:t>
            </w:r>
            <w:r>
              <w:rPr>
                <w:sz w:val="21"/>
              </w:rPr>
              <w:t>）绿化率、水土流失情况等生态环境影响。</w:t>
            </w:r>
          </w:p>
        </w:tc>
      </w:tr>
      <w:tr>
        <w:trPr>
          <w:trHeight w:val="1065" w:hRule="atLeast"/>
        </w:trPr>
        <w:tc>
          <w:tcPr>
            <w:tcW w:w="605" w:type="dxa"/>
            <w:vMerge/>
            <w:tcBorders>
              <w:top w:val="nil"/>
            </w:tcBorders>
          </w:tcPr>
          <w:p>
            <w:pPr>
              <w:rPr>
                <w:sz w:val="2"/>
                <w:szCs w:val="2"/>
              </w:rPr>
            </w:pPr>
          </w:p>
        </w:tc>
        <w:tc>
          <w:tcPr>
            <w:tcW w:w="7694" w:type="dxa"/>
            <w:tcBorders>
              <w:top w:val="nil"/>
            </w:tcBorders>
          </w:tcPr>
          <w:p>
            <w:pPr>
              <w:pStyle w:val="TableParagraph"/>
              <w:spacing w:line="168" w:lineRule="auto" w:before="25"/>
              <w:ind w:left="107" w:right="92"/>
              <w:rPr>
                <w:sz w:val="21"/>
              </w:rPr>
            </w:pPr>
            <w:r>
              <w:rPr>
                <w:spacing w:val="-10"/>
                <w:sz w:val="21"/>
              </w:rPr>
              <w:t>实际工程内容调查，明确工程变化内容；环保设施或措施三同时及达标调查；对新</w:t>
            </w:r>
            <w:r>
              <w:rPr>
                <w:spacing w:val="-5"/>
                <w:sz w:val="21"/>
              </w:rPr>
              <w:t>出现的环境问题提出整改要求。</w:t>
            </w:r>
          </w:p>
        </w:tc>
      </w:tr>
    </w:tbl>
    <w:p>
      <w:pPr>
        <w:spacing w:after="0" w:line="168" w:lineRule="auto"/>
        <w:rPr>
          <w:sz w:val="21"/>
        </w:rPr>
        <w:sectPr>
          <w:pgSz w:w="11910" w:h="16840"/>
          <w:pgMar w:header="877" w:footer="1146" w:top="1420" w:bottom="1340" w:left="1200" w:right="1340"/>
        </w:sectPr>
      </w:pPr>
    </w:p>
    <w:p>
      <w:pPr>
        <w:pStyle w:val="Heading1"/>
        <w:numPr>
          <w:ilvl w:val="0"/>
          <w:numId w:val="2"/>
        </w:numPr>
        <w:tabs>
          <w:tab w:pos="1020" w:val="left" w:leader="none"/>
          <w:tab w:pos="1021" w:val="left" w:leader="none"/>
        </w:tabs>
        <w:spacing w:line="645" w:lineRule="exact" w:before="0" w:after="0"/>
        <w:ind w:left="1020" w:right="0" w:hanging="420"/>
        <w:jc w:val="left"/>
        <w:rPr>
          <w:rFonts w:ascii="Noto Sans CJK JP Regular" w:eastAsia="Noto Sans CJK JP Regular" w:hint="eastAsia"/>
        </w:rPr>
      </w:pPr>
      <w:bookmarkStart w:name="_TOC_250008" w:id="3"/>
      <w:bookmarkEnd w:id="3"/>
      <w:r>
        <w:rPr>
          <w:rFonts w:ascii="Noto Sans CJK JP Regular" w:eastAsia="Noto Sans CJK JP Regular" w:hint="eastAsia"/>
        </w:rPr>
        <w:t>验收执行标准</w:t>
      </w:r>
    </w:p>
    <w:p>
      <w:pPr>
        <w:pStyle w:val="BodyText"/>
        <w:spacing w:before="2"/>
        <w:ind w:left="1169"/>
      </w:pPr>
      <w:r>
        <w:rPr>
          <w:rFonts w:ascii="Times New Roman" w:eastAsia="Times New Roman"/>
        </w:rPr>
        <w:t>1</w:t>
      </w:r>
      <w:r>
        <w:rPr/>
        <w:t>、环境空气质量标准</w:t>
      </w:r>
    </w:p>
    <w:p>
      <w:pPr>
        <w:pStyle w:val="BodyText"/>
        <w:spacing w:line="211" w:lineRule="auto" w:before="61"/>
        <w:ind w:left="3802" w:right="619" w:hanging="2634"/>
      </w:pPr>
      <w:r>
        <w:rPr/>
        <w:t>项目所在区域执行《环境空气质量标准》（</w:t>
      </w:r>
      <w:r>
        <w:rPr>
          <w:rFonts w:ascii="Times New Roman" w:eastAsia="Times New Roman"/>
        </w:rPr>
        <w:t>GB3095-2012</w:t>
      </w:r>
      <w:r>
        <w:rPr/>
        <w:t>）一级标准，详见表</w:t>
      </w:r>
      <w:r>
        <w:rPr>
          <w:rFonts w:ascii="Times New Roman" w:eastAsia="Times New Roman"/>
        </w:rPr>
        <w:t>3-1</w:t>
      </w:r>
      <w:r>
        <w:rPr/>
        <w:t>。表 </w:t>
      </w:r>
      <w:r>
        <w:rPr>
          <w:rFonts w:ascii="Arial" w:eastAsia="Arial"/>
          <w:b/>
        </w:rPr>
        <w:t>3-1 </w:t>
      </w:r>
      <w:r>
        <w:rPr/>
        <w:t>环境空气质量标准</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
        <w:rPr>
          <w:sz w:val="22"/>
        </w:rPr>
      </w:pPr>
    </w:p>
    <w:p>
      <w:pPr>
        <w:pStyle w:val="Heading3"/>
        <w:spacing w:line="146" w:lineRule="auto" w:before="90"/>
        <w:ind w:left="713" w:right="8411"/>
        <w:jc w:val="both"/>
      </w:pPr>
      <w:r>
        <w:rPr/>
        <w:pict>
          <v:shape style="position:absolute;margin-left:118.459999pt;margin-top:-195.656418pt;width:381.6pt;height:234.9pt;mso-position-horizontal-relative:page;mso-position-vertical-relative:paragraph;z-index:104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7"/>
                    <w:gridCol w:w="992"/>
                    <w:gridCol w:w="1561"/>
                    <w:gridCol w:w="994"/>
                    <w:gridCol w:w="2235"/>
                  </w:tblGrid>
                  <w:tr>
                    <w:trPr>
                      <w:trHeight w:val="371" w:hRule="atLeast"/>
                    </w:trPr>
                    <w:tc>
                      <w:tcPr>
                        <w:tcW w:w="1837" w:type="dxa"/>
                        <w:vMerge w:val="restart"/>
                      </w:tcPr>
                      <w:p>
                        <w:pPr>
                          <w:pStyle w:val="TableParagraph"/>
                          <w:spacing w:before="11"/>
                          <w:rPr>
                            <w:sz w:val="15"/>
                          </w:rPr>
                        </w:pPr>
                      </w:p>
                      <w:p>
                        <w:pPr>
                          <w:pStyle w:val="TableParagraph"/>
                          <w:spacing w:before="1"/>
                          <w:ind w:left="391"/>
                          <w:rPr>
                            <w:sz w:val="21"/>
                          </w:rPr>
                        </w:pPr>
                        <w:r>
                          <w:rPr>
                            <w:sz w:val="21"/>
                          </w:rPr>
                          <w:t>污染物名称</w:t>
                        </w:r>
                      </w:p>
                    </w:tc>
                    <w:tc>
                      <w:tcPr>
                        <w:tcW w:w="3547" w:type="dxa"/>
                        <w:gridSpan w:val="3"/>
                      </w:tcPr>
                      <w:p>
                        <w:pPr>
                          <w:pStyle w:val="TableParagraph"/>
                          <w:spacing w:line="352" w:lineRule="exact"/>
                          <w:ind w:left="861"/>
                          <w:rPr>
                            <w:sz w:val="21"/>
                          </w:rPr>
                        </w:pPr>
                        <w:r>
                          <w:rPr>
                            <w:sz w:val="21"/>
                          </w:rPr>
                          <w:t>浓度限值（</w:t>
                        </w:r>
                        <w:r>
                          <w:rPr>
                            <w:rFonts w:ascii="Times New Roman" w:eastAsia="Times New Roman"/>
                            <w:sz w:val="21"/>
                          </w:rPr>
                          <w:t>mg/m</w:t>
                        </w:r>
                        <w:r>
                          <w:rPr>
                            <w:rFonts w:ascii="Times New Roman" w:eastAsia="Times New Roman"/>
                            <w:sz w:val="21"/>
                            <w:vertAlign w:val="superscript"/>
                          </w:rPr>
                          <w:t>3</w:t>
                        </w:r>
                        <w:r>
                          <w:rPr>
                            <w:sz w:val="21"/>
                            <w:vertAlign w:val="baseline"/>
                          </w:rPr>
                          <w:t>）</w:t>
                        </w:r>
                      </w:p>
                    </w:tc>
                    <w:tc>
                      <w:tcPr>
                        <w:tcW w:w="2235" w:type="dxa"/>
                      </w:tcPr>
                      <w:p>
                        <w:pPr>
                          <w:pStyle w:val="TableParagraph"/>
                          <w:spacing w:line="352" w:lineRule="exact"/>
                          <w:ind w:left="7"/>
                          <w:jc w:val="center"/>
                          <w:rPr>
                            <w:sz w:val="21"/>
                          </w:rPr>
                        </w:pPr>
                        <w:r>
                          <w:rPr>
                            <w:sz w:val="21"/>
                          </w:rPr>
                          <w:t>标准</w:t>
                        </w:r>
                      </w:p>
                    </w:tc>
                  </w:tr>
                  <w:tr>
                    <w:trPr>
                      <w:trHeight w:val="683" w:hRule="atLeast"/>
                    </w:trPr>
                    <w:tc>
                      <w:tcPr>
                        <w:tcW w:w="1837" w:type="dxa"/>
                        <w:vMerge/>
                        <w:tcBorders>
                          <w:top w:val="nil"/>
                        </w:tcBorders>
                      </w:tcPr>
                      <w:p>
                        <w:pPr>
                          <w:rPr>
                            <w:sz w:val="2"/>
                            <w:szCs w:val="2"/>
                          </w:rPr>
                        </w:pPr>
                      </w:p>
                    </w:tc>
                    <w:tc>
                      <w:tcPr>
                        <w:tcW w:w="992" w:type="dxa"/>
                      </w:tcPr>
                      <w:p>
                        <w:pPr>
                          <w:pStyle w:val="TableParagraph"/>
                          <w:spacing w:line="360" w:lineRule="exact"/>
                          <w:ind w:left="82" w:right="72"/>
                          <w:jc w:val="center"/>
                          <w:rPr>
                            <w:sz w:val="21"/>
                          </w:rPr>
                        </w:pPr>
                        <w:r>
                          <w:rPr>
                            <w:rFonts w:ascii="Times New Roman" w:eastAsia="Times New Roman"/>
                            <w:sz w:val="21"/>
                          </w:rPr>
                          <w:t>1 </w:t>
                        </w:r>
                        <w:r>
                          <w:rPr>
                            <w:sz w:val="21"/>
                          </w:rPr>
                          <w:t>小时平</w:t>
                        </w:r>
                      </w:p>
                      <w:p>
                        <w:pPr>
                          <w:pStyle w:val="TableParagraph"/>
                          <w:spacing w:line="303" w:lineRule="exact"/>
                          <w:ind w:left="5"/>
                          <w:jc w:val="center"/>
                          <w:rPr>
                            <w:sz w:val="21"/>
                          </w:rPr>
                        </w:pPr>
                        <w:r>
                          <w:rPr>
                            <w:w w:val="100"/>
                            <w:sz w:val="21"/>
                          </w:rPr>
                          <w:t>均</w:t>
                        </w:r>
                      </w:p>
                    </w:tc>
                    <w:tc>
                      <w:tcPr>
                        <w:tcW w:w="1561" w:type="dxa"/>
                      </w:tcPr>
                      <w:p>
                        <w:pPr>
                          <w:pStyle w:val="TableParagraph"/>
                          <w:spacing w:before="137"/>
                          <w:ind w:left="131" w:right="125"/>
                          <w:jc w:val="center"/>
                          <w:rPr>
                            <w:sz w:val="21"/>
                          </w:rPr>
                        </w:pPr>
                        <w:r>
                          <w:rPr>
                            <w:rFonts w:ascii="Times New Roman" w:eastAsia="Times New Roman"/>
                            <w:sz w:val="21"/>
                          </w:rPr>
                          <w:t>24 </w:t>
                        </w:r>
                        <w:r>
                          <w:rPr>
                            <w:sz w:val="21"/>
                          </w:rPr>
                          <w:t>小时平均</w:t>
                        </w:r>
                      </w:p>
                    </w:tc>
                    <w:tc>
                      <w:tcPr>
                        <w:tcW w:w="994" w:type="dxa"/>
                      </w:tcPr>
                      <w:p>
                        <w:pPr>
                          <w:pStyle w:val="TableParagraph"/>
                          <w:spacing w:before="137"/>
                          <w:ind w:left="158" w:right="153"/>
                          <w:jc w:val="center"/>
                          <w:rPr>
                            <w:sz w:val="21"/>
                          </w:rPr>
                        </w:pPr>
                        <w:r>
                          <w:rPr>
                            <w:sz w:val="21"/>
                          </w:rPr>
                          <w:t>年平均</w:t>
                        </w:r>
                      </w:p>
                    </w:tc>
                    <w:tc>
                      <w:tcPr>
                        <w:tcW w:w="2235"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
                          <w:rPr>
                            <w:sz w:val="17"/>
                          </w:rPr>
                        </w:pPr>
                      </w:p>
                      <w:p>
                        <w:pPr>
                          <w:pStyle w:val="TableParagraph"/>
                          <w:spacing w:line="379" w:lineRule="exact"/>
                          <w:ind w:left="88"/>
                          <w:jc w:val="center"/>
                          <w:rPr>
                            <w:sz w:val="21"/>
                          </w:rPr>
                        </w:pPr>
                        <w:r>
                          <w:rPr>
                            <w:sz w:val="21"/>
                          </w:rPr>
                          <w:t>《环境空气质量标准》</w:t>
                        </w:r>
                      </w:p>
                      <w:p>
                        <w:pPr>
                          <w:pStyle w:val="TableParagraph"/>
                          <w:spacing w:line="312" w:lineRule="exact"/>
                          <w:ind w:left="7"/>
                          <w:jc w:val="center"/>
                          <w:rPr>
                            <w:sz w:val="21"/>
                          </w:rPr>
                        </w:pPr>
                        <w:r>
                          <w:rPr>
                            <w:sz w:val="21"/>
                          </w:rPr>
                          <w:t>（</w:t>
                        </w:r>
                        <w:r>
                          <w:rPr>
                            <w:rFonts w:ascii="Times New Roman" w:eastAsia="Times New Roman"/>
                            <w:sz w:val="21"/>
                          </w:rPr>
                          <w:t>GB3095-2012</w:t>
                        </w:r>
                        <w:r>
                          <w:rPr>
                            <w:sz w:val="21"/>
                          </w:rPr>
                          <w:t>）一级</w:t>
                        </w:r>
                      </w:p>
                      <w:p>
                        <w:pPr>
                          <w:pStyle w:val="TableParagraph"/>
                          <w:spacing w:line="379" w:lineRule="exact"/>
                          <w:ind w:left="7"/>
                          <w:jc w:val="center"/>
                          <w:rPr>
                            <w:sz w:val="21"/>
                          </w:rPr>
                        </w:pPr>
                        <w:r>
                          <w:rPr>
                            <w:sz w:val="21"/>
                          </w:rPr>
                          <w:t>标准</w:t>
                        </w:r>
                      </w:p>
                    </w:tc>
                  </w:tr>
                  <w:tr>
                    <w:trPr>
                      <w:trHeight w:val="374" w:hRule="atLeast"/>
                    </w:trPr>
                    <w:tc>
                      <w:tcPr>
                        <w:tcW w:w="1837" w:type="dxa"/>
                      </w:tcPr>
                      <w:p>
                        <w:pPr>
                          <w:pStyle w:val="TableParagraph"/>
                          <w:spacing w:line="354" w:lineRule="exact"/>
                          <w:ind w:left="78" w:right="66"/>
                          <w:jc w:val="center"/>
                          <w:rPr>
                            <w:rFonts w:ascii="Times New Roman" w:eastAsia="Times New Roman"/>
                            <w:sz w:val="21"/>
                          </w:rPr>
                        </w:pPr>
                        <w:r>
                          <w:rPr>
                            <w:sz w:val="21"/>
                          </w:rPr>
                          <w:t>二氧化硫</w:t>
                        </w:r>
                        <w:r>
                          <w:rPr>
                            <w:rFonts w:ascii="Times New Roman" w:eastAsia="Times New Roman"/>
                            <w:sz w:val="21"/>
                          </w:rPr>
                          <w:t>(SO</w:t>
                        </w:r>
                        <w:r>
                          <w:rPr>
                            <w:rFonts w:ascii="Times New Roman" w:eastAsia="Times New Roman"/>
                            <w:sz w:val="21"/>
                            <w:vertAlign w:val="subscript"/>
                          </w:rPr>
                          <w:t>2</w:t>
                        </w:r>
                        <w:r>
                          <w:rPr>
                            <w:rFonts w:ascii="Times New Roman" w:eastAsia="Times New Roman"/>
                            <w:sz w:val="21"/>
                            <w:vertAlign w:val="baseline"/>
                          </w:rPr>
                          <w:t>)</w:t>
                        </w:r>
                      </w:p>
                    </w:tc>
                    <w:tc>
                      <w:tcPr>
                        <w:tcW w:w="992" w:type="dxa"/>
                      </w:tcPr>
                      <w:p>
                        <w:pPr>
                          <w:pStyle w:val="TableParagraph"/>
                          <w:spacing w:before="96"/>
                          <w:ind w:left="82" w:right="72"/>
                          <w:jc w:val="center"/>
                          <w:rPr>
                            <w:rFonts w:ascii="Times New Roman"/>
                            <w:sz w:val="21"/>
                          </w:rPr>
                        </w:pPr>
                        <w:r>
                          <w:rPr>
                            <w:rFonts w:ascii="Times New Roman"/>
                            <w:sz w:val="21"/>
                          </w:rPr>
                          <w:t>0.15</w:t>
                        </w:r>
                      </w:p>
                    </w:tc>
                    <w:tc>
                      <w:tcPr>
                        <w:tcW w:w="1561" w:type="dxa"/>
                      </w:tcPr>
                      <w:p>
                        <w:pPr>
                          <w:pStyle w:val="TableParagraph"/>
                          <w:spacing w:before="96"/>
                          <w:ind w:left="131" w:right="125"/>
                          <w:jc w:val="center"/>
                          <w:rPr>
                            <w:rFonts w:ascii="Times New Roman"/>
                            <w:sz w:val="21"/>
                          </w:rPr>
                        </w:pPr>
                        <w:r>
                          <w:rPr>
                            <w:rFonts w:ascii="Times New Roman"/>
                            <w:sz w:val="21"/>
                          </w:rPr>
                          <w:t>0.05</w:t>
                        </w:r>
                      </w:p>
                    </w:tc>
                    <w:tc>
                      <w:tcPr>
                        <w:tcW w:w="994" w:type="dxa"/>
                      </w:tcPr>
                      <w:p>
                        <w:pPr>
                          <w:pStyle w:val="TableParagraph"/>
                          <w:spacing w:before="96"/>
                          <w:ind w:left="158" w:right="153"/>
                          <w:jc w:val="center"/>
                          <w:rPr>
                            <w:rFonts w:ascii="Times New Roman"/>
                            <w:sz w:val="21"/>
                          </w:rPr>
                        </w:pPr>
                        <w:r>
                          <w:rPr>
                            <w:rFonts w:ascii="Times New Roman"/>
                            <w:sz w:val="21"/>
                          </w:rPr>
                          <w:t>0.02</w:t>
                        </w:r>
                      </w:p>
                    </w:tc>
                    <w:tc>
                      <w:tcPr>
                        <w:tcW w:w="2235" w:type="dxa"/>
                        <w:vMerge/>
                        <w:tcBorders>
                          <w:top w:val="nil"/>
                        </w:tcBorders>
                      </w:tcPr>
                      <w:p>
                        <w:pPr>
                          <w:rPr>
                            <w:sz w:val="2"/>
                            <w:szCs w:val="2"/>
                          </w:rPr>
                        </w:pPr>
                      </w:p>
                    </w:tc>
                  </w:tr>
                  <w:tr>
                    <w:trPr>
                      <w:trHeight w:val="372" w:hRule="atLeast"/>
                    </w:trPr>
                    <w:tc>
                      <w:tcPr>
                        <w:tcW w:w="1837" w:type="dxa"/>
                      </w:tcPr>
                      <w:p>
                        <w:pPr>
                          <w:pStyle w:val="TableParagraph"/>
                          <w:spacing w:line="352" w:lineRule="exact"/>
                          <w:ind w:left="75" w:right="66"/>
                          <w:jc w:val="center"/>
                          <w:rPr>
                            <w:rFonts w:ascii="Times New Roman" w:eastAsia="Times New Roman"/>
                            <w:sz w:val="21"/>
                          </w:rPr>
                        </w:pPr>
                        <w:r>
                          <w:rPr>
                            <w:sz w:val="21"/>
                          </w:rPr>
                          <w:t>二氧化氮</w:t>
                        </w:r>
                        <w:r>
                          <w:rPr>
                            <w:rFonts w:ascii="Times New Roman" w:eastAsia="Times New Roman"/>
                            <w:sz w:val="21"/>
                          </w:rPr>
                          <w:t>(NO</w:t>
                        </w:r>
                        <w:r>
                          <w:rPr>
                            <w:rFonts w:ascii="Times New Roman" w:eastAsia="Times New Roman"/>
                            <w:sz w:val="21"/>
                            <w:vertAlign w:val="subscript"/>
                          </w:rPr>
                          <w:t>2</w:t>
                        </w:r>
                        <w:r>
                          <w:rPr>
                            <w:rFonts w:ascii="Times New Roman" w:eastAsia="Times New Roman"/>
                            <w:sz w:val="21"/>
                            <w:vertAlign w:val="baseline"/>
                          </w:rPr>
                          <w:t>)</w:t>
                        </w:r>
                      </w:p>
                    </w:tc>
                    <w:tc>
                      <w:tcPr>
                        <w:tcW w:w="992" w:type="dxa"/>
                      </w:tcPr>
                      <w:p>
                        <w:pPr>
                          <w:pStyle w:val="TableParagraph"/>
                          <w:spacing w:before="94"/>
                          <w:ind w:left="82" w:right="72"/>
                          <w:jc w:val="center"/>
                          <w:rPr>
                            <w:rFonts w:ascii="Times New Roman"/>
                            <w:sz w:val="21"/>
                          </w:rPr>
                        </w:pPr>
                        <w:r>
                          <w:rPr>
                            <w:rFonts w:ascii="Times New Roman"/>
                            <w:sz w:val="21"/>
                          </w:rPr>
                          <w:t>0.20</w:t>
                        </w:r>
                      </w:p>
                    </w:tc>
                    <w:tc>
                      <w:tcPr>
                        <w:tcW w:w="1561" w:type="dxa"/>
                      </w:tcPr>
                      <w:p>
                        <w:pPr>
                          <w:pStyle w:val="TableParagraph"/>
                          <w:spacing w:before="94"/>
                          <w:ind w:left="131" w:right="125"/>
                          <w:jc w:val="center"/>
                          <w:rPr>
                            <w:rFonts w:ascii="Times New Roman"/>
                            <w:sz w:val="21"/>
                          </w:rPr>
                        </w:pPr>
                        <w:r>
                          <w:rPr>
                            <w:rFonts w:ascii="Times New Roman"/>
                            <w:sz w:val="21"/>
                          </w:rPr>
                          <w:t>0.08</w:t>
                        </w:r>
                      </w:p>
                    </w:tc>
                    <w:tc>
                      <w:tcPr>
                        <w:tcW w:w="994" w:type="dxa"/>
                      </w:tcPr>
                      <w:p>
                        <w:pPr>
                          <w:pStyle w:val="TableParagraph"/>
                          <w:spacing w:before="94"/>
                          <w:ind w:left="158" w:right="153"/>
                          <w:jc w:val="center"/>
                          <w:rPr>
                            <w:rFonts w:ascii="Times New Roman"/>
                            <w:sz w:val="21"/>
                          </w:rPr>
                        </w:pPr>
                        <w:r>
                          <w:rPr>
                            <w:rFonts w:ascii="Times New Roman"/>
                            <w:sz w:val="21"/>
                          </w:rPr>
                          <w:t>0.04</w:t>
                        </w:r>
                      </w:p>
                    </w:tc>
                    <w:tc>
                      <w:tcPr>
                        <w:tcW w:w="2235" w:type="dxa"/>
                        <w:vMerge/>
                        <w:tcBorders>
                          <w:top w:val="nil"/>
                        </w:tcBorders>
                      </w:tcPr>
                      <w:p>
                        <w:pPr>
                          <w:rPr>
                            <w:sz w:val="2"/>
                            <w:szCs w:val="2"/>
                          </w:rPr>
                        </w:pPr>
                      </w:p>
                    </w:tc>
                  </w:tr>
                  <w:tr>
                    <w:trPr>
                      <w:trHeight w:val="683" w:hRule="atLeast"/>
                    </w:trPr>
                    <w:tc>
                      <w:tcPr>
                        <w:tcW w:w="1837" w:type="dxa"/>
                      </w:tcPr>
                      <w:p>
                        <w:pPr>
                          <w:pStyle w:val="TableParagraph"/>
                          <w:spacing w:line="360" w:lineRule="exact"/>
                          <w:ind w:left="77" w:right="66"/>
                          <w:jc w:val="center"/>
                          <w:rPr>
                            <w:sz w:val="21"/>
                          </w:rPr>
                        </w:pPr>
                        <w:r>
                          <w:rPr>
                            <w:sz w:val="21"/>
                          </w:rPr>
                          <w:t>总悬浮颗粒物</w:t>
                        </w:r>
                      </w:p>
                      <w:p>
                        <w:pPr>
                          <w:pStyle w:val="TableParagraph"/>
                          <w:spacing w:line="303" w:lineRule="exact"/>
                          <w:ind w:left="74" w:right="66"/>
                          <w:jc w:val="center"/>
                          <w:rPr>
                            <w:sz w:val="21"/>
                          </w:rPr>
                        </w:pPr>
                        <w:r>
                          <w:rPr>
                            <w:sz w:val="21"/>
                          </w:rPr>
                          <w:t>（</w:t>
                        </w:r>
                        <w:r>
                          <w:rPr>
                            <w:rFonts w:ascii="Times New Roman" w:eastAsia="Times New Roman"/>
                            <w:sz w:val="21"/>
                          </w:rPr>
                          <w:t>TSP</w:t>
                        </w:r>
                        <w:r>
                          <w:rPr>
                            <w:sz w:val="21"/>
                          </w:rPr>
                          <w:t>）</w:t>
                        </w:r>
                      </w:p>
                    </w:tc>
                    <w:tc>
                      <w:tcPr>
                        <w:tcW w:w="992" w:type="dxa"/>
                      </w:tcPr>
                      <w:p>
                        <w:pPr>
                          <w:pStyle w:val="TableParagraph"/>
                          <w:spacing w:before="16"/>
                          <w:rPr>
                            <w:sz w:val="11"/>
                          </w:rPr>
                        </w:pPr>
                      </w:p>
                      <w:p>
                        <w:pPr>
                          <w:pStyle w:val="TableParagraph"/>
                          <w:spacing w:before="1"/>
                          <w:ind w:left="6"/>
                          <w:jc w:val="center"/>
                          <w:rPr>
                            <w:rFonts w:ascii="Times New Roman"/>
                            <w:sz w:val="21"/>
                          </w:rPr>
                        </w:pPr>
                        <w:r>
                          <w:rPr>
                            <w:rFonts w:ascii="Times New Roman"/>
                            <w:w w:val="100"/>
                            <w:sz w:val="21"/>
                          </w:rPr>
                          <w:t>/</w:t>
                        </w:r>
                      </w:p>
                    </w:tc>
                    <w:tc>
                      <w:tcPr>
                        <w:tcW w:w="1561" w:type="dxa"/>
                      </w:tcPr>
                      <w:p>
                        <w:pPr>
                          <w:pStyle w:val="TableParagraph"/>
                          <w:spacing w:before="16"/>
                          <w:rPr>
                            <w:sz w:val="11"/>
                          </w:rPr>
                        </w:pPr>
                      </w:p>
                      <w:p>
                        <w:pPr>
                          <w:pStyle w:val="TableParagraph"/>
                          <w:spacing w:before="1"/>
                          <w:ind w:left="131" w:right="125"/>
                          <w:jc w:val="center"/>
                          <w:rPr>
                            <w:rFonts w:ascii="Times New Roman"/>
                            <w:sz w:val="21"/>
                          </w:rPr>
                        </w:pPr>
                        <w:r>
                          <w:rPr>
                            <w:rFonts w:ascii="Times New Roman"/>
                            <w:sz w:val="21"/>
                          </w:rPr>
                          <w:t>0.12</w:t>
                        </w:r>
                      </w:p>
                    </w:tc>
                    <w:tc>
                      <w:tcPr>
                        <w:tcW w:w="994" w:type="dxa"/>
                      </w:tcPr>
                      <w:p>
                        <w:pPr>
                          <w:pStyle w:val="TableParagraph"/>
                          <w:spacing w:before="16"/>
                          <w:rPr>
                            <w:sz w:val="11"/>
                          </w:rPr>
                        </w:pPr>
                      </w:p>
                      <w:p>
                        <w:pPr>
                          <w:pStyle w:val="TableParagraph"/>
                          <w:spacing w:before="1"/>
                          <w:ind w:left="158" w:right="153"/>
                          <w:jc w:val="center"/>
                          <w:rPr>
                            <w:rFonts w:ascii="Times New Roman"/>
                            <w:sz w:val="21"/>
                          </w:rPr>
                        </w:pPr>
                        <w:r>
                          <w:rPr>
                            <w:rFonts w:ascii="Times New Roman"/>
                            <w:sz w:val="21"/>
                          </w:rPr>
                          <w:t>0.08</w:t>
                        </w:r>
                      </w:p>
                    </w:tc>
                    <w:tc>
                      <w:tcPr>
                        <w:tcW w:w="2235" w:type="dxa"/>
                        <w:vMerge/>
                        <w:tcBorders>
                          <w:top w:val="nil"/>
                        </w:tcBorders>
                      </w:tcPr>
                      <w:p>
                        <w:pPr>
                          <w:rPr>
                            <w:sz w:val="2"/>
                            <w:szCs w:val="2"/>
                          </w:rPr>
                        </w:pPr>
                      </w:p>
                    </w:tc>
                  </w:tr>
                  <w:tr>
                    <w:trPr>
                      <w:trHeight w:val="683" w:hRule="atLeast"/>
                    </w:trPr>
                    <w:tc>
                      <w:tcPr>
                        <w:tcW w:w="1837" w:type="dxa"/>
                      </w:tcPr>
                      <w:p>
                        <w:pPr>
                          <w:pStyle w:val="TableParagraph"/>
                          <w:spacing w:line="417" w:lineRule="exact"/>
                          <w:ind w:left="77" w:right="66"/>
                          <w:jc w:val="center"/>
                          <w:rPr>
                            <w:sz w:val="21"/>
                          </w:rPr>
                        </w:pPr>
                        <w:r>
                          <w:rPr>
                            <w:sz w:val="21"/>
                          </w:rPr>
                          <w:t>可吸入颗粒物</w:t>
                        </w:r>
                      </w:p>
                      <w:p>
                        <w:pPr>
                          <w:pStyle w:val="TableParagraph"/>
                          <w:spacing w:line="231" w:lineRule="exact"/>
                          <w:ind w:left="77" w:right="66"/>
                          <w:jc w:val="center"/>
                          <w:rPr>
                            <w:rFonts w:ascii="Times New Roman"/>
                            <w:sz w:val="21"/>
                          </w:rPr>
                        </w:pPr>
                        <w:r>
                          <w:rPr>
                            <w:rFonts w:ascii="Times New Roman"/>
                            <w:sz w:val="21"/>
                          </w:rPr>
                          <w:t>(PM</w:t>
                        </w:r>
                        <w:r>
                          <w:rPr>
                            <w:rFonts w:ascii="Times New Roman"/>
                            <w:sz w:val="21"/>
                            <w:vertAlign w:val="subscript"/>
                          </w:rPr>
                          <w:t>10</w:t>
                        </w:r>
                        <w:r>
                          <w:rPr>
                            <w:rFonts w:ascii="Times New Roman"/>
                            <w:sz w:val="21"/>
                            <w:vertAlign w:val="baseline"/>
                          </w:rPr>
                          <w:t>)</w:t>
                        </w:r>
                      </w:p>
                    </w:tc>
                    <w:tc>
                      <w:tcPr>
                        <w:tcW w:w="992" w:type="dxa"/>
                      </w:tcPr>
                      <w:p>
                        <w:pPr>
                          <w:pStyle w:val="TableParagraph"/>
                          <w:spacing w:before="16"/>
                          <w:rPr>
                            <w:sz w:val="11"/>
                          </w:rPr>
                        </w:pPr>
                      </w:p>
                      <w:p>
                        <w:pPr>
                          <w:pStyle w:val="TableParagraph"/>
                          <w:spacing w:before="1"/>
                          <w:ind w:left="6"/>
                          <w:jc w:val="center"/>
                          <w:rPr>
                            <w:rFonts w:ascii="Times New Roman"/>
                            <w:sz w:val="21"/>
                          </w:rPr>
                        </w:pPr>
                        <w:r>
                          <w:rPr>
                            <w:rFonts w:ascii="Times New Roman"/>
                            <w:w w:val="100"/>
                            <w:sz w:val="21"/>
                          </w:rPr>
                          <w:t>/</w:t>
                        </w:r>
                      </w:p>
                    </w:tc>
                    <w:tc>
                      <w:tcPr>
                        <w:tcW w:w="1561" w:type="dxa"/>
                      </w:tcPr>
                      <w:p>
                        <w:pPr>
                          <w:pStyle w:val="TableParagraph"/>
                          <w:spacing w:before="16"/>
                          <w:rPr>
                            <w:sz w:val="11"/>
                          </w:rPr>
                        </w:pPr>
                      </w:p>
                      <w:p>
                        <w:pPr>
                          <w:pStyle w:val="TableParagraph"/>
                          <w:spacing w:before="1"/>
                          <w:ind w:left="131" w:right="125"/>
                          <w:jc w:val="center"/>
                          <w:rPr>
                            <w:rFonts w:ascii="Times New Roman"/>
                            <w:sz w:val="21"/>
                          </w:rPr>
                        </w:pPr>
                        <w:r>
                          <w:rPr>
                            <w:rFonts w:ascii="Times New Roman"/>
                            <w:sz w:val="21"/>
                          </w:rPr>
                          <w:t>0.05</w:t>
                        </w:r>
                      </w:p>
                    </w:tc>
                    <w:tc>
                      <w:tcPr>
                        <w:tcW w:w="994" w:type="dxa"/>
                      </w:tcPr>
                      <w:p>
                        <w:pPr>
                          <w:pStyle w:val="TableParagraph"/>
                          <w:spacing w:before="16"/>
                          <w:rPr>
                            <w:sz w:val="11"/>
                          </w:rPr>
                        </w:pPr>
                      </w:p>
                      <w:p>
                        <w:pPr>
                          <w:pStyle w:val="TableParagraph"/>
                          <w:spacing w:before="1"/>
                          <w:ind w:left="158" w:right="153"/>
                          <w:jc w:val="center"/>
                          <w:rPr>
                            <w:rFonts w:ascii="Times New Roman"/>
                            <w:sz w:val="21"/>
                          </w:rPr>
                        </w:pPr>
                        <w:r>
                          <w:rPr>
                            <w:rFonts w:ascii="Times New Roman"/>
                            <w:sz w:val="21"/>
                          </w:rPr>
                          <w:t>0.04</w:t>
                        </w:r>
                      </w:p>
                    </w:tc>
                    <w:tc>
                      <w:tcPr>
                        <w:tcW w:w="2235" w:type="dxa"/>
                        <w:vMerge/>
                        <w:tcBorders>
                          <w:top w:val="nil"/>
                        </w:tcBorders>
                      </w:tcPr>
                      <w:p>
                        <w:pPr>
                          <w:rPr>
                            <w:sz w:val="2"/>
                            <w:szCs w:val="2"/>
                          </w:rPr>
                        </w:pPr>
                      </w:p>
                    </w:tc>
                  </w:tr>
                  <w:tr>
                    <w:trPr>
                      <w:trHeight w:val="371" w:hRule="atLeast"/>
                    </w:trPr>
                    <w:tc>
                      <w:tcPr>
                        <w:tcW w:w="1837" w:type="dxa"/>
                      </w:tcPr>
                      <w:p>
                        <w:pPr>
                          <w:pStyle w:val="TableParagraph"/>
                          <w:spacing w:line="352" w:lineRule="exact"/>
                          <w:ind w:left="77" w:right="66"/>
                          <w:jc w:val="center"/>
                          <w:rPr>
                            <w:sz w:val="21"/>
                          </w:rPr>
                        </w:pPr>
                        <w:r>
                          <w:rPr>
                            <w:sz w:val="21"/>
                          </w:rPr>
                          <w:t>一氧化碳（</w:t>
                        </w:r>
                        <w:r>
                          <w:rPr>
                            <w:rFonts w:ascii="Times New Roman" w:eastAsia="Times New Roman"/>
                            <w:sz w:val="21"/>
                          </w:rPr>
                          <w:t>CO</w:t>
                        </w:r>
                        <w:r>
                          <w:rPr>
                            <w:sz w:val="21"/>
                          </w:rPr>
                          <w:t>）</w:t>
                        </w:r>
                      </w:p>
                    </w:tc>
                    <w:tc>
                      <w:tcPr>
                        <w:tcW w:w="992" w:type="dxa"/>
                      </w:tcPr>
                      <w:p>
                        <w:pPr>
                          <w:pStyle w:val="TableParagraph"/>
                          <w:spacing w:before="94"/>
                          <w:ind w:left="82" w:right="72"/>
                          <w:jc w:val="center"/>
                          <w:rPr>
                            <w:rFonts w:ascii="Times New Roman"/>
                            <w:sz w:val="21"/>
                          </w:rPr>
                        </w:pPr>
                        <w:r>
                          <w:rPr>
                            <w:rFonts w:ascii="Times New Roman"/>
                            <w:sz w:val="21"/>
                          </w:rPr>
                          <w:t>10.0</w:t>
                        </w:r>
                      </w:p>
                    </w:tc>
                    <w:tc>
                      <w:tcPr>
                        <w:tcW w:w="1561" w:type="dxa"/>
                      </w:tcPr>
                      <w:p>
                        <w:pPr>
                          <w:pStyle w:val="TableParagraph"/>
                          <w:spacing w:before="94"/>
                          <w:ind w:left="131" w:right="125"/>
                          <w:jc w:val="center"/>
                          <w:rPr>
                            <w:rFonts w:ascii="Times New Roman"/>
                            <w:sz w:val="21"/>
                          </w:rPr>
                        </w:pPr>
                        <w:r>
                          <w:rPr>
                            <w:rFonts w:ascii="Times New Roman"/>
                            <w:sz w:val="21"/>
                          </w:rPr>
                          <w:t>4.00</w:t>
                        </w:r>
                      </w:p>
                    </w:tc>
                    <w:tc>
                      <w:tcPr>
                        <w:tcW w:w="994" w:type="dxa"/>
                      </w:tcPr>
                      <w:p>
                        <w:pPr>
                          <w:pStyle w:val="TableParagraph"/>
                          <w:spacing w:before="94"/>
                          <w:ind w:left="1"/>
                          <w:jc w:val="center"/>
                          <w:rPr>
                            <w:rFonts w:ascii="Times New Roman"/>
                            <w:sz w:val="21"/>
                          </w:rPr>
                        </w:pPr>
                        <w:r>
                          <w:rPr>
                            <w:rFonts w:ascii="Times New Roman"/>
                            <w:w w:val="100"/>
                            <w:sz w:val="21"/>
                          </w:rPr>
                          <w:t>/</w:t>
                        </w:r>
                      </w:p>
                    </w:tc>
                    <w:tc>
                      <w:tcPr>
                        <w:tcW w:w="2235" w:type="dxa"/>
                        <w:vMerge/>
                        <w:tcBorders>
                          <w:top w:val="nil"/>
                        </w:tcBorders>
                      </w:tcPr>
                      <w:p>
                        <w:pPr>
                          <w:rPr>
                            <w:sz w:val="2"/>
                            <w:szCs w:val="2"/>
                          </w:rPr>
                        </w:pPr>
                      </w:p>
                    </w:tc>
                  </w:tr>
                  <w:tr>
                    <w:trPr>
                      <w:trHeight w:val="371" w:hRule="atLeast"/>
                    </w:trPr>
                    <w:tc>
                      <w:tcPr>
                        <w:tcW w:w="1837" w:type="dxa"/>
                      </w:tcPr>
                      <w:p>
                        <w:pPr>
                          <w:pStyle w:val="TableParagraph"/>
                          <w:spacing w:line="352" w:lineRule="exact"/>
                          <w:ind w:left="89" w:right="66"/>
                          <w:jc w:val="center"/>
                          <w:rPr>
                            <w:sz w:val="21"/>
                          </w:rPr>
                        </w:pPr>
                        <w:r>
                          <w:rPr>
                            <w:sz w:val="21"/>
                          </w:rPr>
                          <w:t>氮氧化物（</w:t>
                        </w:r>
                        <w:r>
                          <w:rPr>
                            <w:rFonts w:ascii="Times New Roman" w:eastAsia="Times New Roman"/>
                            <w:sz w:val="21"/>
                          </w:rPr>
                          <w:t>NO</w:t>
                        </w:r>
                        <w:r>
                          <w:rPr>
                            <w:rFonts w:ascii="Times New Roman" w:eastAsia="Times New Roman"/>
                            <w:sz w:val="21"/>
                            <w:vertAlign w:val="subscript"/>
                          </w:rPr>
                          <w:t>x</w:t>
                        </w:r>
                        <w:r>
                          <w:rPr>
                            <w:sz w:val="21"/>
                            <w:vertAlign w:val="baseline"/>
                          </w:rPr>
                          <w:t>）</w:t>
                        </w:r>
                      </w:p>
                    </w:tc>
                    <w:tc>
                      <w:tcPr>
                        <w:tcW w:w="992" w:type="dxa"/>
                      </w:tcPr>
                      <w:p>
                        <w:pPr>
                          <w:pStyle w:val="TableParagraph"/>
                          <w:spacing w:before="94"/>
                          <w:ind w:left="82" w:right="72"/>
                          <w:jc w:val="center"/>
                          <w:rPr>
                            <w:rFonts w:ascii="Times New Roman"/>
                            <w:sz w:val="21"/>
                          </w:rPr>
                        </w:pPr>
                        <w:r>
                          <w:rPr>
                            <w:rFonts w:ascii="Times New Roman"/>
                            <w:sz w:val="21"/>
                          </w:rPr>
                          <w:t>0.25</w:t>
                        </w:r>
                      </w:p>
                    </w:tc>
                    <w:tc>
                      <w:tcPr>
                        <w:tcW w:w="1561" w:type="dxa"/>
                      </w:tcPr>
                      <w:p>
                        <w:pPr>
                          <w:pStyle w:val="TableParagraph"/>
                          <w:spacing w:before="94"/>
                          <w:ind w:left="131" w:right="125"/>
                          <w:jc w:val="center"/>
                          <w:rPr>
                            <w:rFonts w:ascii="Times New Roman"/>
                            <w:sz w:val="21"/>
                          </w:rPr>
                        </w:pPr>
                        <w:r>
                          <w:rPr>
                            <w:rFonts w:ascii="Times New Roman"/>
                            <w:sz w:val="21"/>
                          </w:rPr>
                          <w:t>0.10</w:t>
                        </w:r>
                      </w:p>
                    </w:tc>
                    <w:tc>
                      <w:tcPr>
                        <w:tcW w:w="994" w:type="dxa"/>
                      </w:tcPr>
                      <w:p>
                        <w:pPr>
                          <w:pStyle w:val="TableParagraph"/>
                          <w:spacing w:before="94"/>
                          <w:ind w:left="158" w:right="153"/>
                          <w:jc w:val="center"/>
                          <w:rPr>
                            <w:rFonts w:ascii="Times New Roman"/>
                            <w:sz w:val="21"/>
                          </w:rPr>
                        </w:pPr>
                        <w:r>
                          <w:rPr>
                            <w:rFonts w:ascii="Times New Roman"/>
                            <w:sz w:val="21"/>
                          </w:rPr>
                          <w:t>0.05</w:t>
                        </w:r>
                      </w:p>
                    </w:tc>
                    <w:tc>
                      <w:tcPr>
                        <w:tcW w:w="2235" w:type="dxa"/>
                        <w:vMerge/>
                        <w:tcBorders>
                          <w:top w:val="nil"/>
                        </w:tcBorders>
                      </w:tcPr>
                      <w:p>
                        <w:pPr>
                          <w:rPr>
                            <w:sz w:val="2"/>
                            <w:szCs w:val="2"/>
                          </w:rPr>
                        </w:pPr>
                      </w:p>
                    </w:tc>
                  </w:tr>
                  <w:tr>
                    <w:trPr>
                      <w:trHeight w:val="686" w:hRule="atLeast"/>
                    </w:trPr>
                    <w:tc>
                      <w:tcPr>
                        <w:tcW w:w="1837" w:type="dxa"/>
                      </w:tcPr>
                      <w:p>
                        <w:pPr>
                          <w:pStyle w:val="TableParagraph"/>
                          <w:spacing w:before="140"/>
                          <w:ind w:left="74" w:right="66"/>
                          <w:jc w:val="center"/>
                          <w:rPr>
                            <w:sz w:val="21"/>
                          </w:rPr>
                        </w:pPr>
                        <w:r>
                          <w:rPr>
                            <w:sz w:val="21"/>
                          </w:rPr>
                          <w:t>臭氧（</w:t>
                        </w:r>
                        <w:r>
                          <w:rPr>
                            <w:rFonts w:ascii="Times New Roman" w:eastAsia="Times New Roman"/>
                            <w:sz w:val="21"/>
                          </w:rPr>
                          <w:t>O</w:t>
                        </w:r>
                        <w:r>
                          <w:rPr>
                            <w:rFonts w:ascii="Times New Roman" w:eastAsia="Times New Roman"/>
                            <w:sz w:val="21"/>
                            <w:vertAlign w:val="subscript"/>
                          </w:rPr>
                          <w:t>3</w:t>
                        </w:r>
                        <w:r>
                          <w:rPr>
                            <w:sz w:val="21"/>
                            <w:vertAlign w:val="baseline"/>
                          </w:rPr>
                          <w:t>）</w:t>
                        </w:r>
                      </w:p>
                    </w:tc>
                    <w:tc>
                      <w:tcPr>
                        <w:tcW w:w="992" w:type="dxa"/>
                      </w:tcPr>
                      <w:p>
                        <w:pPr>
                          <w:pStyle w:val="TableParagraph"/>
                          <w:spacing w:before="19"/>
                          <w:rPr>
                            <w:sz w:val="11"/>
                          </w:rPr>
                        </w:pPr>
                      </w:p>
                      <w:p>
                        <w:pPr>
                          <w:pStyle w:val="TableParagraph"/>
                          <w:ind w:left="82" w:right="72"/>
                          <w:jc w:val="center"/>
                          <w:rPr>
                            <w:rFonts w:ascii="Times New Roman"/>
                            <w:sz w:val="21"/>
                          </w:rPr>
                        </w:pPr>
                        <w:r>
                          <w:rPr>
                            <w:rFonts w:ascii="Times New Roman"/>
                            <w:sz w:val="21"/>
                          </w:rPr>
                          <w:t>0.16</w:t>
                        </w:r>
                      </w:p>
                    </w:tc>
                    <w:tc>
                      <w:tcPr>
                        <w:tcW w:w="1561" w:type="dxa"/>
                      </w:tcPr>
                      <w:p>
                        <w:pPr>
                          <w:pStyle w:val="TableParagraph"/>
                          <w:spacing w:line="363" w:lineRule="exact"/>
                          <w:ind w:left="131" w:right="125"/>
                          <w:jc w:val="center"/>
                          <w:rPr>
                            <w:rFonts w:ascii="Times New Roman" w:eastAsia="Times New Roman"/>
                            <w:sz w:val="21"/>
                          </w:rPr>
                        </w:pPr>
                        <w:r>
                          <w:rPr>
                            <w:rFonts w:ascii="Times New Roman" w:eastAsia="Times New Roman"/>
                            <w:sz w:val="21"/>
                          </w:rPr>
                          <w:t>0.1</w:t>
                        </w:r>
                        <w:r>
                          <w:rPr>
                            <w:sz w:val="21"/>
                          </w:rPr>
                          <w:t>（日最大 </w:t>
                        </w:r>
                        <w:r>
                          <w:rPr>
                            <w:rFonts w:ascii="Times New Roman" w:eastAsia="Times New Roman"/>
                            <w:sz w:val="21"/>
                          </w:rPr>
                          <w:t>8</w:t>
                        </w:r>
                      </w:p>
                      <w:p>
                        <w:pPr>
                          <w:pStyle w:val="TableParagraph"/>
                          <w:spacing w:line="303" w:lineRule="exact"/>
                          <w:ind w:left="131" w:right="123"/>
                          <w:jc w:val="center"/>
                          <w:rPr>
                            <w:sz w:val="21"/>
                          </w:rPr>
                        </w:pPr>
                        <w:r>
                          <w:rPr>
                            <w:sz w:val="21"/>
                          </w:rPr>
                          <w:t>小时平均）</w:t>
                        </w:r>
                      </w:p>
                    </w:tc>
                    <w:tc>
                      <w:tcPr>
                        <w:tcW w:w="994" w:type="dxa"/>
                      </w:tcPr>
                      <w:p>
                        <w:pPr>
                          <w:pStyle w:val="TableParagraph"/>
                          <w:spacing w:before="19"/>
                          <w:rPr>
                            <w:sz w:val="11"/>
                          </w:rPr>
                        </w:pPr>
                      </w:p>
                      <w:p>
                        <w:pPr>
                          <w:pStyle w:val="TableParagraph"/>
                          <w:ind w:left="1"/>
                          <w:jc w:val="center"/>
                          <w:rPr>
                            <w:rFonts w:ascii="Times New Roman"/>
                            <w:sz w:val="21"/>
                          </w:rPr>
                        </w:pPr>
                        <w:r>
                          <w:rPr>
                            <w:rFonts w:ascii="Times New Roman"/>
                            <w:w w:val="100"/>
                            <w:sz w:val="21"/>
                          </w:rPr>
                          <w:t>/</w:t>
                        </w:r>
                      </w:p>
                    </w:tc>
                    <w:tc>
                      <w:tcPr>
                        <w:tcW w:w="2235" w:type="dxa"/>
                        <w:vMerge/>
                        <w:tcBorders>
                          <w:top w:val="nil"/>
                        </w:tcBorders>
                      </w:tcPr>
                      <w:p>
                        <w:pPr>
                          <w:rPr>
                            <w:sz w:val="2"/>
                            <w:szCs w:val="2"/>
                          </w:rPr>
                        </w:pPr>
                      </w:p>
                    </w:tc>
                  </w:tr>
                </w:tbl>
                <w:p>
                  <w:pPr>
                    <w:pStyle w:val="BodyText"/>
                  </w:pPr>
                </w:p>
              </w:txbxContent>
            </v:textbox>
            <w10:wrap type="none"/>
          </v:shape>
        </w:pict>
      </w:r>
      <w:r>
        <w:rPr/>
        <w:t>环境质</w:t>
      </w:r>
    </w:p>
    <w:p>
      <w:pPr>
        <w:pStyle w:val="BodyText"/>
        <w:spacing w:line="48" w:lineRule="auto"/>
        <w:ind w:left="713"/>
        <w:jc w:val="both"/>
      </w:pPr>
      <w:r>
        <w:rPr>
          <w:position w:val="-14"/>
          <w:sz w:val="24"/>
        </w:rPr>
        <w:t>量 </w:t>
      </w:r>
      <w:r>
        <w:rPr>
          <w:rFonts w:ascii="Times New Roman" w:eastAsia="Times New Roman"/>
        </w:rPr>
        <w:t>2</w:t>
      </w:r>
      <w:r>
        <w:rPr/>
        <w:t>、水环境质量标准</w:t>
      </w:r>
    </w:p>
    <w:p>
      <w:pPr>
        <w:pStyle w:val="BodyText"/>
        <w:spacing w:line="412" w:lineRule="exact"/>
        <w:ind w:left="713"/>
        <w:jc w:val="both"/>
      </w:pPr>
      <w:r>
        <w:rPr>
          <w:position w:val="1"/>
          <w:sz w:val="24"/>
        </w:rPr>
        <w:t>标 </w:t>
      </w:r>
      <w:r>
        <w:rPr/>
        <w:t>项目附近东钱湖水质保护目标，执行《地表水环境质量标准》（</w:t>
      </w:r>
      <w:r>
        <w:rPr>
          <w:rFonts w:ascii="Times New Roman" w:hAnsi="Times New Roman" w:eastAsia="Times New Roman"/>
        </w:rPr>
        <w:t>GB3838-2002</w:t>
      </w:r>
      <w:r>
        <w:rPr/>
        <w:t>）中Ⅱ</w:t>
      </w:r>
    </w:p>
    <w:p>
      <w:pPr>
        <w:pStyle w:val="Heading3"/>
        <w:spacing w:line="261" w:lineRule="exact"/>
        <w:ind w:left="713"/>
        <w:jc w:val="both"/>
      </w:pPr>
      <w:r>
        <w:rPr/>
        <w:t>准</w:t>
      </w:r>
    </w:p>
    <w:p>
      <w:pPr>
        <w:pStyle w:val="BodyText"/>
        <w:spacing w:line="295" w:lineRule="exact"/>
        <w:ind w:left="1169"/>
      </w:pPr>
      <w:r>
        <w:rPr/>
        <w:t>类标准，详见下表。</w:t>
      </w:r>
    </w:p>
    <w:p>
      <w:pPr>
        <w:spacing w:line="355" w:lineRule="exact" w:before="0"/>
        <w:ind w:left="1711" w:right="1111" w:firstLine="0"/>
        <w:jc w:val="center"/>
        <w:rPr>
          <w:sz w:val="21"/>
        </w:rPr>
      </w:pPr>
      <w:r>
        <w:rPr/>
        <w:pict>
          <v:shape style="position:absolute;margin-left:118.459999pt;margin-top:14.97477pt;width:381.6pt;height:38.65pt;mso-position-horizontal-relative:page;mso-position-vertical-relative:paragraph;z-index:107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2"/>
                    <w:gridCol w:w="773"/>
                    <w:gridCol w:w="758"/>
                    <w:gridCol w:w="945"/>
                    <w:gridCol w:w="1044"/>
                    <w:gridCol w:w="1212"/>
                    <w:gridCol w:w="985"/>
                    <w:gridCol w:w="987"/>
                  </w:tblGrid>
                  <w:tr>
                    <w:trPr>
                      <w:trHeight w:val="371" w:hRule="atLeast"/>
                    </w:trPr>
                    <w:tc>
                      <w:tcPr>
                        <w:tcW w:w="912" w:type="dxa"/>
                      </w:tcPr>
                      <w:p>
                        <w:pPr>
                          <w:pStyle w:val="TableParagraph"/>
                          <w:spacing w:line="352" w:lineRule="exact"/>
                          <w:ind w:left="225" w:right="216"/>
                          <w:jc w:val="center"/>
                          <w:rPr>
                            <w:sz w:val="21"/>
                          </w:rPr>
                        </w:pPr>
                        <w:r>
                          <w:rPr>
                            <w:sz w:val="21"/>
                          </w:rPr>
                          <w:t>项目</w:t>
                        </w:r>
                      </w:p>
                    </w:tc>
                    <w:tc>
                      <w:tcPr>
                        <w:tcW w:w="773" w:type="dxa"/>
                      </w:tcPr>
                      <w:p>
                        <w:pPr>
                          <w:pStyle w:val="TableParagraph"/>
                          <w:spacing w:before="94"/>
                          <w:ind w:left="203" w:right="195"/>
                          <w:jc w:val="center"/>
                          <w:rPr>
                            <w:rFonts w:ascii="Times New Roman"/>
                            <w:sz w:val="21"/>
                          </w:rPr>
                        </w:pPr>
                        <w:r>
                          <w:rPr>
                            <w:rFonts w:ascii="Times New Roman"/>
                            <w:sz w:val="21"/>
                          </w:rPr>
                          <w:t>pH</w:t>
                        </w:r>
                      </w:p>
                    </w:tc>
                    <w:tc>
                      <w:tcPr>
                        <w:tcW w:w="758" w:type="dxa"/>
                      </w:tcPr>
                      <w:p>
                        <w:pPr>
                          <w:pStyle w:val="TableParagraph"/>
                          <w:spacing w:before="94"/>
                          <w:ind w:left="207" w:right="197"/>
                          <w:jc w:val="center"/>
                          <w:rPr>
                            <w:rFonts w:ascii="Times New Roman"/>
                            <w:sz w:val="21"/>
                          </w:rPr>
                        </w:pPr>
                        <w:r>
                          <w:rPr>
                            <w:rFonts w:ascii="Times New Roman"/>
                            <w:sz w:val="21"/>
                          </w:rPr>
                          <w:t>DO</w:t>
                        </w:r>
                      </w:p>
                    </w:tc>
                    <w:tc>
                      <w:tcPr>
                        <w:tcW w:w="945" w:type="dxa"/>
                      </w:tcPr>
                      <w:p>
                        <w:pPr>
                          <w:pStyle w:val="TableParagraph"/>
                          <w:spacing w:before="94"/>
                          <w:ind w:right="237"/>
                          <w:jc w:val="right"/>
                          <w:rPr>
                            <w:rFonts w:ascii="Times New Roman"/>
                            <w:sz w:val="21"/>
                          </w:rPr>
                        </w:pPr>
                        <w:r>
                          <w:rPr>
                            <w:rFonts w:ascii="Times New Roman"/>
                            <w:sz w:val="21"/>
                          </w:rPr>
                          <w:t>COD</w:t>
                        </w:r>
                      </w:p>
                    </w:tc>
                    <w:tc>
                      <w:tcPr>
                        <w:tcW w:w="1044" w:type="dxa"/>
                      </w:tcPr>
                      <w:p>
                        <w:pPr>
                          <w:pStyle w:val="TableParagraph"/>
                          <w:spacing w:before="94"/>
                          <w:ind w:left="247" w:right="235"/>
                          <w:jc w:val="center"/>
                          <w:rPr>
                            <w:rFonts w:ascii="Times New Roman"/>
                            <w:sz w:val="21"/>
                          </w:rPr>
                        </w:pPr>
                        <w:r>
                          <w:rPr>
                            <w:rFonts w:ascii="Times New Roman"/>
                            <w:sz w:val="21"/>
                          </w:rPr>
                          <w:t>BOD</w:t>
                        </w:r>
                        <w:r>
                          <w:rPr>
                            <w:rFonts w:ascii="Times New Roman"/>
                            <w:sz w:val="21"/>
                            <w:vertAlign w:val="subscript"/>
                          </w:rPr>
                          <w:t>5</w:t>
                        </w:r>
                      </w:p>
                    </w:tc>
                    <w:tc>
                      <w:tcPr>
                        <w:tcW w:w="1212" w:type="dxa"/>
                      </w:tcPr>
                      <w:p>
                        <w:pPr>
                          <w:pStyle w:val="TableParagraph"/>
                          <w:spacing w:line="352" w:lineRule="exact"/>
                          <w:ind w:left="273" w:right="258"/>
                          <w:jc w:val="center"/>
                          <w:rPr>
                            <w:sz w:val="21"/>
                          </w:rPr>
                        </w:pPr>
                        <w:r>
                          <w:rPr>
                            <w:sz w:val="21"/>
                          </w:rPr>
                          <w:t>石油类</w:t>
                        </w:r>
                      </w:p>
                    </w:tc>
                    <w:tc>
                      <w:tcPr>
                        <w:tcW w:w="985" w:type="dxa"/>
                      </w:tcPr>
                      <w:p>
                        <w:pPr>
                          <w:pStyle w:val="TableParagraph"/>
                          <w:spacing w:line="352" w:lineRule="exact"/>
                          <w:ind w:left="179" w:right="167"/>
                          <w:jc w:val="center"/>
                          <w:rPr>
                            <w:sz w:val="21"/>
                          </w:rPr>
                        </w:pPr>
                        <w:r>
                          <w:rPr>
                            <w:sz w:val="21"/>
                          </w:rPr>
                          <w:t>总磷</w:t>
                        </w:r>
                      </w:p>
                    </w:tc>
                    <w:tc>
                      <w:tcPr>
                        <w:tcW w:w="987" w:type="dxa"/>
                      </w:tcPr>
                      <w:p>
                        <w:pPr>
                          <w:pStyle w:val="TableParagraph"/>
                          <w:spacing w:line="352" w:lineRule="exact"/>
                          <w:ind w:left="281"/>
                          <w:rPr>
                            <w:sz w:val="21"/>
                          </w:rPr>
                        </w:pPr>
                        <w:r>
                          <w:rPr>
                            <w:sz w:val="21"/>
                          </w:rPr>
                          <w:t>氨氮</w:t>
                        </w:r>
                      </w:p>
                    </w:tc>
                  </w:tr>
                  <w:tr>
                    <w:trPr>
                      <w:trHeight w:val="371" w:hRule="atLeast"/>
                    </w:trPr>
                    <w:tc>
                      <w:tcPr>
                        <w:tcW w:w="912" w:type="dxa"/>
                      </w:tcPr>
                      <w:p>
                        <w:pPr>
                          <w:pStyle w:val="TableParagraph"/>
                          <w:spacing w:line="352" w:lineRule="exact"/>
                          <w:ind w:left="225" w:right="216"/>
                          <w:jc w:val="center"/>
                          <w:rPr>
                            <w:sz w:val="21"/>
                          </w:rPr>
                        </w:pPr>
                        <w:r>
                          <w:rPr>
                            <w:sz w:val="21"/>
                          </w:rPr>
                          <w:t>二类</w:t>
                        </w:r>
                      </w:p>
                    </w:tc>
                    <w:tc>
                      <w:tcPr>
                        <w:tcW w:w="773" w:type="dxa"/>
                      </w:tcPr>
                      <w:p>
                        <w:pPr>
                          <w:pStyle w:val="TableParagraph"/>
                          <w:spacing w:before="94"/>
                          <w:ind w:left="204" w:right="195"/>
                          <w:jc w:val="center"/>
                          <w:rPr>
                            <w:rFonts w:ascii="Times New Roman"/>
                            <w:sz w:val="21"/>
                          </w:rPr>
                        </w:pPr>
                        <w:r>
                          <w:rPr>
                            <w:rFonts w:ascii="Times New Roman"/>
                            <w:sz w:val="21"/>
                          </w:rPr>
                          <w:t>6~9</w:t>
                        </w:r>
                      </w:p>
                    </w:tc>
                    <w:tc>
                      <w:tcPr>
                        <w:tcW w:w="758" w:type="dxa"/>
                      </w:tcPr>
                      <w:p>
                        <w:pPr>
                          <w:pStyle w:val="TableParagraph"/>
                          <w:spacing w:before="94"/>
                          <w:ind w:left="207" w:right="197"/>
                          <w:jc w:val="center"/>
                          <w:rPr>
                            <w:rFonts w:ascii="Times New Roman" w:hAnsi="Times New Roman"/>
                            <w:sz w:val="21"/>
                          </w:rPr>
                        </w:pPr>
                        <w:r>
                          <w:rPr>
                            <w:rFonts w:ascii="Times New Roman" w:hAnsi="Times New Roman"/>
                            <w:sz w:val="21"/>
                          </w:rPr>
                          <w:t>≥6</w:t>
                        </w:r>
                      </w:p>
                    </w:tc>
                    <w:tc>
                      <w:tcPr>
                        <w:tcW w:w="945" w:type="dxa"/>
                      </w:tcPr>
                      <w:p>
                        <w:pPr>
                          <w:pStyle w:val="TableParagraph"/>
                          <w:spacing w:before="94"/>
                          <w:ind w:right="298"/>
                          <w:jc w:val="right"/>
                          <w:rPr>
                            <w:rFonts w:ascii="Times New Roman" w:hAnsi="Times New Roman"/>
                            <w:sz w:val="21"/>
                          </w:rPr>
                        </w:pPr>
                        <w:r>
                          <w:rPr>
                            <w:rFonts w:ascii="Times New Roman" w:hAnsi="Times New Roman"/>
                            <w:sz w:val="21"/>
                          </w:rPr>
                          <w:t>≤15</w:t>
                        </w:r>
                      </w:p>
                    </w:tc>
                    <w:tc>
                      <w:tcPr>
                        <w:tcW w:w="1044" w:type="dxa"/>
                      </w:tcPr>
                      <w:p>
                        <w:pPr>
                          <w:pStyle w:val="TableParagraph"/>
                          <w:spacing w:before="94"/>
                          <w:ind w:left="10"/>
                          <w:jc w:val="center"/>
                          <w:rPr>
                            <w:rFonts w:ascii="Times New Roman"/>
                            <w:sz w:val="21"/>
                          </w:rPr>
                        </w:pPr>
                        <w:r>
                          <w:rPr>
                            <w:rFonts w:ascii="Times New Roman"/>
                            <w:w w:val="100"/>
                            <w:sz w:val="21"/>
                          </w:rPr>
                          <w:t>3</w:t>
                        </w:r>
                      </w:p>
                    </w:tc>
                    <w:tc>
                      <w:tcPr>
                        <w:tcW w:w="1212" w:type="dxa"/>
                      </w:tcPr>
                      <w:p>
                        <w:pPr>
                          <w:pStyle w:val="TableParagraph"/>
                          <w:spacing w:before="94"/>
                          <w:ind w:left="273" w:right="258"/>
                          <w:jc w:val="center"/>
                          <w:rPr>
                            <w:rFonts w:ascii="Times New Roman" w:hAnsi="Times New Roman"/>
                            <w:sz w:val="21"/>
                          </w:rPr>
                        </w:pPr>
                        <w:r>
                          <w:rPr>
                            <w:rFonts w:ascii="Times New Roman" w:hAnsi="Times New Roman"/>
                            <w:sz w:val="21"/>
                          </w:rPr>
                          <w:t>≤0.05</w:t>
                        </w:r>
                      </w:p>
                    </w:tc>
                    <w:tc>
                      <w:tcPr>
                        <w:tcW w:w="985" w:type="dxa"/>
                      </w:tcPr>
                      <w:p>
                        <w:pPr>
                          <w:pStyle w:val="TableParagraph"/>
                          <w:spacing w:before="94"/>
                          <w:ind w:left="179" w:right="167"/>
                          <w:jc w:val="center"/>
                          <w:rPr>
                            <w:rFonts w:ascii="Times New Roman" w:hAnsi="Times New Roman"/>
                            <w:sz w:val="21"/>
                          </w:rPr>
                        </w:pPr>
                        <w:r>
                          <w:rPr>
                            <w:rFonts w:ascii="Times New Roman" w:hAnsi="Times New Roman"/>
                            <w:sz w:val="21"/>
                          </w:rPr>
                          <w:t>≤0.025</w:t>
                        </w:r>
                      </w:p>
                    </w:tc>
                    <w:tc>
                      <w:tcPr>
                        <w:tcW w:w="987" w:type="dxa"/>
                      </w:tcPr>
                      <w:p>
                        <w:pPr>
                          <w:pStyle w:val="TableParagraph"/>
                          <w:spacing w:before="94"/>
                          <w:ind w:left="303"/>
                          <w:rPr>
                            <w:rFonts w:ascii="Times New Roman" w:hAnsi="Times New Roman"/>
                            <w:sz w:val="21"/>
                          </w:rPr>
                        </w:pPr>
                        <w:r>
                          <w:rPr>
                            <w:rFonts w:ascii="Times New Roman" w:hAnsi="Times New Roman"/>
                            <w:sz w:val="21"/>
                          </w:rPr>
                          <w:t>≤0.5</w:t>
                        </w:r>
                      </w:p>
                    </w:tc>
                  </w:tr>
                </w:tbl>
                <w:p>
                  <w:pPr>
                    <w:pStyle w:val="BodyText"/>
                  </w:pPr>
                </w:p>
              </w:txbxContent>
            </v:textbox>
            <w10:wrap type="none"/>
          </v:shape>
        </w:pict>
      </w:r>
      <w:r>
        <w:rPr>
          <w:sz w:val="21"/>
        </w:rPr>
        <w:t>表 </w:t>
      </w:r>
      <w:r>
        <w:rPr>
          <w:rFonts w:ascii="Arial" w:eastAsia="Arial"/>
          <w:b/>
          <w:sz w:val="21"/>
        </w:rPr>
        <w:t>3-2 </w:t>
      </w:r>
      <w:r>
        <w:rPr>
          <w:sz w:val="21"/>
        </w:rPr>
        <w:t>水环境质量标准（单位：</w:t>
      </w:r>
      <w:r>
        <w:rPr>
          <w:rFonts w:ascii="Arial" w:eastAsia="Arial"/>
          <w:b/>
          <w:sz w:val="21"/>
        </w:rPr>
        <w:t>mg/L</w:t>
      </w:r>
      <w:r>
        <w:rPr>
          <w:sz w:val="21"/>
        </w:rPr>
        <w:t>）</w:t>
      </w:r>
    </w:p>
    <w:p>
      <w:pPr>
        <w:pStyle w:val="BodyText"/>
        <w:rPr>
          <w:sz w:val="24"/>
        </w:rPr>
      </w:pPr>
    </w:p>
    <w:p>
      <w:pPr>
        <w:pStyle w:val="BodyText"/>
        <w:spacing w:before="18"/>
        <w:rPr>
          <w:sz w:val="31"/>
        </w:rPr>
      </w:pPr>
    </w:p>
    <w:p>
      <w:pPr>
        <w:pStyle w:val="BodyText"/>
        <w:ind w:left="1058" w:right="350"/>
        <w:jc w:val="center"/>
      </w:pPr>
      <w:r>
        <w:rPr/>
        <w:t>项目纳污水体为奉化江，执行《地表水环境质量标准》（</w:t>
      </w:r>
      <w:r>
        <w:rPr>
          <w:rFonts w:ascii="Times New Roman" w:hAnsi="Times New Roman" w:eastAsia="Times New Roman"/>
        </w:rPr>
        <w:t>GB3838-2002</w:t>
      </w:r>
      <w:r>
        <w:rPr/>
        <w:t>）中Ⅳ类标准，</w:t>
      </w:r>
    </w:p>
    <w:p>
      <w:pPr>
        <w:spacing w:after="0"/>
        <w:jc w:val="center"/>
        <w:sectPr>
          <w:pgSz w:w="11910" w:h="16840"/>
          <w:pgMar w:header="877" w:footer="1146" w:top="1420" w:bottom="1340" w:left="1200" w:right="1340"/>
        </w:sectPr>
      </w:pPr>
    </w:p>
    <w:p>
      <w:pPr>
        <w:pStyle w:val="BodyText"/>
        <w:spacing w:before="24"/>
        <w:ind w:left="1169"/>
      </w:pPr>
      <w:r>
        <w:rPr/>
        <w:t>详见下表。</w:t>
      </w:r>
    </w:p>
    <w:p>
      <w:pPr>
        <w:pStyle w:val="BodyText"/>
        <w:spacing w:before="12"/>
        <w:rPr>
          <w:sz w:val="19"/>
        </w:rPr>
      </w:pPr>
      <w:r>
        <w:rPr/>
        <w:br w:type="column"/>
      </w:r>
      <w:r>
        <w:rPr>
          <w:sz w:val="19"/>
        </w:rPr>
      </w:r>
    </w:p>
    <w:p>
      <w:pPr>
        <w:spacing w:before="0"/>
        <w:ind w:left="867" w:right="0" w:firstLine="0"/>
        <w:jc w:val="left"/>
        <w:rPr>
          <w:sz w:val="21"/>
        </w:rPr>
      </w:pPr>
      <w:r>
        <w:rPr/>
        <w:pict>
          <v:shape style="position:absolute;margin-left:118.459999pt;margin-top:19.499954pt;width:381.6pt;height:38.8pt;mso-position-horizontal-relative:page;mso-position-vertical-relative:paragraph;z-index:109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2"/>
                    <w:gridCol w:w="773"/>
                    <w:gridCol w:w="758"/>
                    <w:gridCol w:w="945"/>
                    <w:gridCol w:w="1044"/>
                    <w:gridCol w:w="1212"/>
                    <w:gridCol w:w="985"/>
                    <w:gridCol w:w="987"/>
                  </w:tblGrid>
                  <w:tr>
                    <w:trPr>
                      <w:trHeight w:val="371" w:hRule="atLeast"/>
                    </w:trPr>
                    <w:tc>
                      <w:tcPr>
                        <w:tcW w:w="912" w:type="dxa"/>
                      </w:tcPr>
                      <w:p>
                        <w:pPr>
                          <w:pStyle w:val="TableParagraph"/>
                          <w:spacing w:line="352" w:lineRule="exact"/>
                          <w:ind w:left="225" w:right="216"/>
                          <w:jc w:val="center"/>
                          <w:rPr>
                            <w:sz w:val="21"/>
                          </w:rPr>
                        </w:pPr>
                        <w:r>
                          <w:rPr>
                            <w:sz w:val="21"/>
                          </w:rPr>
                          <w:t>项目</w:t>
                        </w:r>
                      </w:p>
                    </w:tc>
                    <w:tc>
                      <w:tcPr>
                        <w:tcW w:w="773" w:type="dxa"/>
                      </w:tcPr>
                      <w:p>
                        <w:pPr>
                          <w:pStyle w:val="TableParagraph"/>
                          <w:spacing w:before="94"/>
                          <w:ind w:left="203" w:right="195"/>
                          <w:jc w:val="center"/>
                          <w:rPr>
                            <w:rFonts w:ascii="Times New Roman"/>
                            <w:sz w:val="21"/>
                          </w:rPr>
                        </w:pPr>
                        <w:r>
                          <w:rPr>
                            <w:rFonts w:ascii="Times New Roman"/>
                            <w:sz w:val="21"/>
                          </w:rPr>
                          <w:t>pH</w:t>
                        </w:r>
                      </w:p>
                    </w:tc>
                    <w:tc>
                      <w:tcPr>
                        <w:tcW w:w="758" w:type="dxa"/>
                      </w:tcPr>
                      <w:p>
                        <w:pPr>
                          <w:pStyle w:val="TableParagraph"/>
                          <w:spacing w:before="94"/>
                          <w:ind w:left="207" w:right="197"/>
                          <w:jc w:val="center"/>
                          <w:rPr>
                            <w:rFonts w:ascii="Times New Roman"/>
                            <w:sz w:val="21"/>
                          </w:rPr>
                        </w:pPr>
                        <w:r>
                          <w:rPr>
                            <w:rFonts w:ascii="Times New Roman"/>
                            <w:sz w:val="21"/>
                          </w:rPr>
                          <w:t>DO</w:t>
                        </w:r>
                      </w:p>
                    </w:tc>
                    <w:tc>
                      <w:tcPr>
                        <w:tcW w:w="945" w:type="dxa"/>
                      </w:tcPr>
                      <w:p>
                        <w:pPr>
                          <w:pStyle w:val="TableParagraph"/>
                          <w:spacing w:before="94"/>
                          <w:ind w:right="237"/>
                          <w:jc w:val="right"/>
                          <w:rPr>
                            <w:rFonts w:ascii="Times New Roman"/>
                            <w:sz w:val="21"/>
                          </w:rPr>
                        </w:pPr>
                        <w:r>
                          <w:rPr>
                            <w:rFonts w:ascii="Times New Roman"/>
                            <w:sz w:val="21"/>
                          </w:rPr>
                          <w:t>COD</w:t>
                        </w:r>
                      </w:p>
                    </w:tc>
                    <w:tc>
                      <w:tcPr>
                        <w:tcW w:w="1044" w:type="dxa"/>
                      </w:tcPr>
                      <w:p>
                        <w:pPr>
                          <w:pStyle w:val="TableParagraph"/>
                          <w:spacing w:before="94"/>
                          <w:ind w:left="247" w:right="235"/>
                          <w:jc w:val="center"/>
                          <w:rPr>
                            <w:rFonts w:ascii="Times New Roman"/>
                            <w:sz w:val="21"/>
                          </w:rPr>
                        </w:pPr>
                        <w:r>
                          <w:rPr>
                            <w:rFonts w:ascii="Times New Roman"/>
                            <w:sz w:val="21"/>
                          </w:rPr>
                          <w:t>BOD</w:t>
                        </w:r>
                        <w:r>
                          <w:rPr>
                            <w:rFonts w:ascii="Times New Roman"/>
                            <w:sz w:val="21"/>
                            <w:vertAlign w:val="subscript"/>
                          </w:rPr>
                          <w:t>5</w:t>
                        </w:r>
                      </w:p>
                    </w:tc>
                    <w:tc>
                      <w:tcPr>
                        <w:tcW w:w="1212" w:type="dxa"/>
                      </w:tcPr>
                      <w:p>
                        <w:pPr>
                          <w:pStyle w:val="TableParagraph"/>
                          <w:spacing w:line="352" w:lineRule="exact"/>
                          <w:ind w:left="273" w:right="258"/>
                          <w:jc w:val="center"/>
                          <w:rPr>
                            <w:sz w:val="21"/>
                          </w:rPr>
                        </w:pPr>
                        <w:r>
                          <w:rPr>
                            <w:sz w:val="21"/>
                          </w:rPr>
                          <w:t>石油类</w:t>
                        </w:r>
                      </w:p>
                    </w:tc>
                    <w:tc>
                      <w:tcPr>
                        <w:tcW w:w="985" w:type="dxa"/>
                      </w:tcPr>
                      <w:p>
                        <w:pPr>
                          <w:pStyle w:val="TableParagraph"/>
                          <w:spacing w:line="352" w:lineRule="exact"/>
                          <w:ind w:left="179" w:right="167"/>
                          <w:jc w:val="center"/>
                          <w:rPr>
                            <w:sz w:val="21"/>
                          </w:rPr>
                        </w:pPr>
                        <w:r>
                          <w:rPr>
                            <w:sz w:val="21"/>
                          </w:rPr>
                          <w:t>总磷</w:t>
                        </w:r>
                      </w:p>
                    </w:tc>
                    <w:tc>
                      <w:tcPr>
                        <w:tcW w:w="987" w:type="dxa"/>
                      </w:tcPr>
                      <w:p>
                        <w:pPr>
                          <w:pStyle w:val="TableParagraph"/>
                          <w:spacing w:line="352" w:lineRule="exact"/>
                          <w:ind w:left="281"/>
                          <w:rPr>
                            <w:sz w:val="21"/>
                          </w:rPr>
                        </w:pPr>
                        <w:r>
                          <w:rPr>
                            <w:sz w:val="21"/>
                          </w:rPr>
                          <w:t>氨氮</w:t>
                        </w:r>
                      </w:p>
                    </w:tc>
                  </w:tr>
                  <w:tr>
                    <w:trPr>
                      <w:trHeight w:val="373" w:hRule="atLeast"/>
                    </w:trPr>
                    <w:tc>
                      <w:tcPr>
                        <w:tcW w:w="912" w:type="dxa"/>
                      </w:tcPr>
                      <w:p>
                        <w:pPr>
                          <w:pStyle w:val="TableParagraph"/>
                          <w:spacing w:line="354" w:lineRule="exact"/>
                          <w:ind w:left="225" w:right="216"/>
                          <w:jc w:val="center"/>
                          <w:rPr>
                            <w:sz w:val="21"/>
                          </w:rPr>
                        </w:pPr>
                        <w:r>
                          <w:rPr>
                            <w:sz w:val="21"/>
                          </w:rPr>
                          <w:t>四类</w:t>
                        </w:r>
                      </w:p>
                    </w:tc>
                    <w:tc>
                      <w:tcPr>
                        <w:tcW w:w="773" w:type="dxa"/>
                      </w:tcPr>
                      <w:p>
                        <w:pPr>
                          <w:pStyle w:val="TableParagraph"/>
                          <w:spacing w:before="96"/>
                          <w:ind w:left="204" w:right="195"/>
                          <w:jc w:val="center"/>
                          <w:rPr>
                            <w:rFonts w:ascii="Times New Roman"/>
                            <w:sz w:val="21"/>
                          </w:rPr>
                        </w:pPr>
                        <w:r>
                          <w:rPr>
                            <w:rFonts w:ascii="Times New Roman"/>
                            <w:sz w:val="21"/>
                          </w:rPr>
                          <w:t>6~9</w:t>
                        </w:r>
                      </w:p>
                    </w:tc>
                    <w:tc>
                      <w:tcPr>
                        <w:tcW w:w="758" w:type="dxa"/>
                      </w:tcPr>
                      <w:p>
                        <w:pPr>
                          <w:pStyle w:val="TableParagraph"/>
                          <w:spacing w:before="96"/>
                          <w:ind w:left="207" w:right="197"/>
                          <w:jc w:val="center"/>
                          <w:rPr>
                            <w:rFonts w:ascii="Times New Roman" w:hAnsi="Times New Roman"/>
                            <w:sz w:val="21"/>
                          </w:rPr>
                        </w:pPr>
                        <w:r>
                          <w:rPr>
                            <w:rFonts w:ascii="Times New Roman" w:hAnsi="Times New Roman"/>
                            <w:sz w:val="21"/>
                          </w:rPr>
                          <w:t>≥3</w:t>
                        </w:r>
                      </w:p>
                    </w:tc>
                    <w:tc>
                      <w:tcPr>
                        <w:tcW w:w="945" w:type="dxa"/>
                      </w:tcPr>
                      <w:p>
                        <w:pPr>
                          <w:pStyle w:val="TableParagraph"/>
                          <w:spacing w:before="96"/>
                          <w:ind w:right="298"/>
                          <w:jc w:val="right"/>
                          <w:rPr>
                            <w:rFonts w:ascii="Times New Roman" w:hAnsi="Times New Roman"/>
                            <w:sz w:val="21"/>
                          </w:rPr>
                        </w:pPr>
                        <w:r>
                          <w:rPr>
                            <w:rFonts w:ascii="Times New Roman" w:hAnsi="Times New Roman"/>
                            <w:sz w:val="21"/>
                          </w:rPr>
                          <w:t>≤30</w:t>
                        </w:r>
                      </w:p>
                    </w:tc>
                    <w:tc>
                      <w:tcPr>
                        <w:tcW w:w="1044" w:type="dxa"/>
                      </w:tcPr>
                      <w:p>
                        <w:pPr>
                          <w:pStyle w:val="TableParagraph"/>
                          <w:spacing w:before="96"/>
                          <w:ind w:left="10"/>
                          <w:jc w:val="center"/>
                          <w:rPr>
                            <w:rFonts w:ascii="Times New Roman"/>
                            <w:sz w:val="21"/>
                          </w:rPr>
                        </w:pPr>
                        <w:r>
                          <w:rPr>
                            <w:rFonts w:ascii="Times New Roman"/>
                            <w:w w:val="100"/>
                            <w:sz w:val="21"/>
                          </w:rPr>
                          <w:t>6</w:t>
                        </w:r>
                      </w:p>
                    </w:tc>
                    <w:tc>
                      <w:tcPr>
                        <w:tcW w:w="1212" w:type="dxa"/>
                      </w:tcPr>
                      <w:p>
                        <w:pPr>
                          <w:pStyle w:val="TableParagraph"/>
                          <w:spacing w:before="96"/>
                          <w:ind w:left="273" w:right="258"/>
                          <w:jc w:val="center"/>
                          <w:rPr>
                            <w:rFonts w:ascii="Times New Roman" w:hAnsi="Times New Roman"/>
                            <w:sz w:val="21"/>
                          </w:rPr>
                        </w:pPr>
                        <w:r>
                          <w:rPr>
                            <w:rFonts w:ascii="Times New Roman" w:hAnsi="Times New Roman"/>
                            <w:sz w:val="21"/>
                          </w:rPr>
                          <w:t>≤0.5</w:t>
                        </w:r>
                      </w:p>
                    </w:tc>
                    <w:tc>
                      <w:tcPr>
                        <w:tcW w:w="985" w:type="dxa"/>
                      </w:tcPr>
                      <w:p>
                        <w:pPr>
                          <w:pStyle w:val="TableParagraph"/>
                          <w:spacing w:before="96"/>
                          <w:ind w:left="179" w:right="167"/>
                          <w:jc w:val="center"/>
                          <w:rPr>
                            <w:rFonts w:ascii="Times New Roman" w:hAnsi="Times New Roman"/>
                            <w:sz w:val="21"/>
                          </w:rPr>
                        </w:pPr>
                        <w:r>
                          <w:rPr>
                            <w:rFonts w:ascii="Times New Roman" w:hAnsi="Times New Roman"/>
                            <w:sz w:val="21"/>
                          </w:rPr>
                          <w:t>≤0.3</w:t>
                        </w:r>
                      </w:p>
                    </w:tc>
                    <w:tc>
                      <w:tcPr>
                        <w:tcW w:w="987" w:type="dxa"/>
                      </w:tcPr>
                      <w:p>
                        <w:pPr>
                          <w:pStyle w:val="TableParagraph"/>
                          <w:spacing w:before="96"/>
                          <w:ind w:left="303"/>
                          <w:rPr>
                            <w:rFonts w:ascii="Times New Roman" w:hAnsi="Times New Roman"/>
                            <w:sz w:val="21"/>
                          </w:rPr>
                        </w:pPr>
                        <w:r>
                          <w:rPr>
                            <w:rFonts w:ascii="Times New Roman" w:hAnsi="Times New Roman"/>
                            <w:sz w:val="21"/>
                          </w:rPr>
                          <w:t>≤1.5</w:t>
                        </w:r>
                      </w:p>
                    </w:tc>
                  </w:tr>
                </w:tbl>
                <w:p>
                  <w:pPr>
                    <w:pStyle w:val="BodyText"/>
                  </w:pPr>
                </w:p>
              </w:txbxContent>
            </v:textbox>
            <w10:wrap type="none"/>
          </v:shape>
        </w:pict>
      </w:r>
      <w:r>
        <w:rPr>
          <w:sz w:val="21"/>
        </w:rPr>
        <w:t>表 </w:t>
      </w:r>
      <w:r>
        <w:rPr>
          <w:rFonts w:ascii="Arial" w:eastAsia="Arial"/>
          <w:b/>
          <w:sz w:val="21"/>
        </w:rPr>
        <w:t>3-3 </w:t>
      </w:r>
      <w:r>
        <w:rPr>
          <w:sz w:val="21"/>
        </w:rPr>
        <w:t>水环境质量标准（单位：</w:t>
      </w:r>
      <w:r>
        <w:rPr>
          <w:rFonts w:ascii="Arial" w:eastAsia="Arial"/>
          <w:b/>
          <w:sz w:val="21"/>
        </w:rPr>
        <w:t>mg/L</w:t>
      </w:r>
      <w:r>
        <w:rPr>
          <w:sz w:val="21"/>
        </w:rPr>
        <w:t>）</w:t>
      </w:r>
    </w:p>
    <w:p>
      <w:pPr>
        <w:spacing w:after="0"/>
        <w:jc w:val="left"/>
        <w:rPr>
          <w:sz w:val="21"/>
        </w:rPr>
        <w:sectPr>
          <w:type w:val="continuous"/>
          <w:pgSz w:w="11910" w:h="16840"/>
          <w:pgMar w:top="1580" w:bottom="280" w:left="1200" w:right="1340"/>
          <w:cols w:num="2" w:equalWidth="0">
            <w:col w:w="2223" w:space="40"/>
            <w:col w:w="7107"/>
          </w:cols>
        </w:sectPr>
      </w:pPr>
    </w:p>
    <w:p>
      <w:pPr>
        <w:pStyle w:val="BodyText"/>
        <w:rPr>
          <w:sz w:val="20"/>
        </w:rPr>
      </w:pPr>
      <w:r>
        <w:rPr/>
        <w:pict>
          <v:group style="position:absolute;margin-left:90.024002pt;margin-top:103.219986pt;width:415.4pt;height:617.5pt;mso-position-horizontal-relative:page;mso-position-vertical-relative:page;z-index:-91312" coordorigin="1800,2064" coordsize="8308,12350">
            <v:rect style="position:absolute;left:1800;top:2064;width:10;height:10" filled="true" fillcolor="#000000" stroked="false">
              <v:fill type="solid"/>
            </v:rect>
            <v:line style="position:absolute" from="1810,2069" to="2256,2069" stroked="true" strokeweight=".48pt" strokecolor="#000000">
              <v:stroke dashstyle="solid"/>
            </v:line>
            <v:rect style="position:absolute;left:2256;top:2064;width:10;height:10" filled="true" fillcolor="#000000" stroked="false">
              <v:fill type="solid"/>
            </v:rect>
            <v:line style="position:absolute" from="2266,2069" to="10099,2069" stroked="true" strokeweight=".48pt" strokecolor="#000000">
              <v:stroke dashstyle="solid"/>
            </v:line>
            <v:rect style="position:absolute;left:10098;top:2064;width:10;height:10" filled="true" fillcolor="#000000" stroked="false">
              <v:fill type="solid"/>
            </v:rect>
            <v:line style="position:absolute" from="1805,2074" to="1805,14404" stroked="true" strokeweight=".48pt" strokecolor="#000000">
              <v:stroke dashstyle="solid"/>
            </v:line>
            <v:rect style="position:absolute;left:1800;top:14404;width:10;height:10" filled="true" fillcolor="#000000" stroked="false">
              <v:fill type="solid"/>
            </v:rect>
            <v:line style="position:absolute" from="1810,14409" to="2256,14409" stroked="true" strokeweight=".47998pt" strokecolor="#000000">
              <v:stroke dashstyle="solid"/>
            </v:line>
            <v:line style="position:absolute" from="2261,2074" to="2261,14404" stroked="true" strokeweight=".48pt" strokecolor="#000000">
              <v:stroke dashstyle="solid"/>
            </v:line>
            <v:rect style="position:absolute;left:2256;top:14404;width:10;height:10" filled="true" fillcolor="#000000" stroked="false">
              <v:fill type="solid"/>
            </v:rect>
            <v:line style="position:absolute" from="2266,14409" to="10099,14409" stroked="true" strokeweight=".47998pt" strokecolor="#000000">
              <v:stroke dashstyle="solid"/>
            </v:line>
            <v:line style="position:absolute" from="10104,2074" to="10104,14404" stroked="true" strokeweight=".48001pt" strokecolor="#000000">
              <v:stroke dashstyle="solid"/>
            </v:line>
            <v:rect style="position:absolute;left:10098;top:14404;width:10;height:10" filled="true" fillcolor="#000000" stroked="false">
              <v:fill type="solid"/>
            </v:rect>
            <w10:wrap type="none"/>
          </v:group>
        </w:pict>
      </w:r>
    </w:p>
    <w:p>
      <w:pPr>
        <w:pStyle w:val="BodyText"/>
        <w:spacing w:before="20"/>
        <w:rPr>
          <w:sz w:val="14"/>
        </w:rPr>
      </w:pPr>
    </w:p>
    <w:p>
      <w:pPr>
        <w:pStyle w:val="BodyText"/>
        <w:spacing w:line="423" w:lineRule="exact"/>
        <w:ind w:left="1169"/>
      </w:pPr>
      <w:r>
        <w:rPr>
          <w:rFonts w:ascii="Times New Roman" w:eastAsia="Times New Roman"/>
        </w:rPr>
        <w:t>3</w:t>
      </w:r>
      <w:r>
        <w:rPr/>
        <w:t>、声环境质量标准</w:t>
      </w:r>
    </w:p>
    <w:p>
      <w:pPr>
        <w:pStyle w:val="BodyText"/>
        <w:spacing w:line="252" w:lineRule="auto" w:before="22"/>
        <w:ind w:left="1169" w:right="566"/>
      </w:pPr>
      <w:r>
        <w:rPr/>
        <w:t>项目所在地块执行《声环境质量标准》（</w:t>
      </w:r>
      <w:r>
        <w:rPr>
          <w:rFonts w:ascii="Times New Roman" w:eastAsia="Times New Roman"/>
        </w:rPr>
        <w:t>GB3096-2008</w:t>
      </w:r>
      <w:r>
        <w:rPr/>
        <w:t>）</w:t>
      </w:r>
      <w:r>
        <w:rPr>
          <w:rFonts w:ascii="Times New Roman" w:eastAsia="Times New Roman"/>
        </w:rPr>
        <w:t>1</w:t>
      </w:r>
      <w:r>
        <w:rPr/>
        <w:t>类标准，即昼间</w:t>
      </w:r>
      <w:r>
        <w:rPr>
          <w:rFonts w:ascii="Times New Roman" w:eastAsia="Times New Roman"/>
        </w:rPr>
        <w:t>55dBA</w:t>
      </w:r>
      <w:r>
        <w:rPr/>
        <w:t>， 夜间</w:t>
      </w:r>
      <w:r>
        <w:rPr>
          <w:rFonts w:ascii="Times New Roman" w:eastAsia="Times New Roman"/>
        </w:rPr>
        <w:t>45dBA</w:t>
      </w:r>
      <w:r>
        <w:rPr/>
        <w:t>。</w:t>
      </w:r>
    </w:p>
    <w:p>
      <w:pPr>
        <w:spacing w:after="0" w:line="252" w:lineRule="auto"/>
        <w:sectPr>
          <w:type w:val="continuous"/>
          <w:pgSz w:w="11910" w:h="16840"/>
          <w:pgMar w:top="1580" w:bottom="280" w:left="1200" w:right="1340"/>
        </w:sectPr>
      </w:pPr>
    </w:p>
    <w:tbl>
      <w:tblPr>
        <w:tblW w:w="0" w:type="auto"/>
        <w:jc w:val="left"/>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113"/>
        <w:gridCol w:w="2787"/>
        <w:gridCol w:w="2228"/>
        <w:gridCol w:w="2603"/>
        <w:gridCol w:w="114"/>
      </w:tblGrid>
      <w:tr>
        <w:trPr>
          <w:trHeight w:val="10007" w:hRule="atLeast"/>
        </w:trPr>
        <w:tc>
          <w:tcPr>
            <w:tcW w:w="456"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28"/>
              </w:rPr>
            </w:pPr>
          </w:p>
          <w:p>
            <w:pPr>
              <w:pStyle w:val="TableParagraph"/>
              <w:spacing w:line="168" w:lineRule="auto"/>
              <w:ind w:left="107" w:right="126"/>
              <w:jc w:val="both"/>
              <w:rPr>
                <w:sz w:val="21"/>
              </w:rPr>
            </w:pPr>
            <w:r>
              <w:rPr>
                <w:sz w:val="21"/>
              </w:rPr>
              <w:t>污染物排放标准</w:t>
            </w:r>
          </w:p>
        </w:tc>
        <w:tc>
          <w:tcPr>
            <w:tcW w:w="7845" w:type="dxa"/>
            <w:gridSpan w:val="5"/>
          </w:tcPr>
          <w:p>
            <w:pPr>
              <w:pStyle w:val="TableParagraph"/>
              <w:spacing w:line="444" w:lineRule="exact"/>
              <w:ind w:left="107"/>
              <w:rPr>
                <w:sz w:val="21"/>
              </w:rPr>
            </w:pPr>
            <w:r>
              <w:rPr>
                <w:rFonts w:ascii="Times New Roman" w:eastAsia="Times New Roman"/>
                <w:sz w:val="21"/>
              </w:rPr>
              <w:t>1</w:t>
            </w:r>
            <w:r>
              <w:rPr>
                <w:sz w:val="21"/>
              </w:rPr>
              <w:t>、废气排放标准</w:t>
            </w:r>
          </w:p>
          <w:p>
            <w:pPr>
              <w:pStyle w:val="TableParagraph"/>
              <w:spacing w:line="252" w:lineRule="auto" w:before="23"/>
              <w:ind w:left="107" w:right="-15"/>
              <w:rPr>
                <w:sz w:val="21"/>
              </w:rPr>
            </w:pPr>
            <w:r>
              <w:rPr>
                <w:spacing w:val="-14"/>
                <w:sz w:val="21"/>
              </w:rPr>
              <w:t>（</w:t>
            </w:r>
            <w:r>
              <w:rPr>
                <w:rFonts w:ascii="Times New Roman" w:eastAsia="Times New Roman"/>
                <w:spacing w:val="-14"/>
                <w:sz w:val="21"/>
              </w:rPr>
              <w:t>1</w:t>
            </w:r>
            <w:r>
              <w:rPr>
                <w:spacing w:val="-14"/>
                <w:sz w:val="21"/>
              </w:rPr>
              <w:t>）</w:t>
            </w:r>
            <w:r>
              <w:rPr>
                <w:spacing w:val="-11"/>
                <w:sz w:val="21"/>
              </w:rPr>
              <w:t>本项目垃圾收集点臭气执行《恶臭污染物排放标准》</w:t>
            </w:r>
            <w:r>
              <w:rPr>
                <w:spacing w:val="-5"/>
                <w:sz w:val="21"/>
              </w:rPr>
              <w:t>（</w:t>
            </w:r>
            <w:r>
              <w:rPr>
                <w:rFonts w:ascii="Times New Roman" w:eastAsia="Times New Roman"/>
                <w:spacing w:val="-5"/>
                <w:sz w:val="21"/>
              </w:rPr>
              <w:t>GB14554-93</w:t>
            </w:r>
            <w:r>
              <w:rPr>
                <w:spacing w:val="-5"/>
                <w:sz w:val="21"/>
              </w:rPr>
              <w:t>）</w:t>
            </w:r>
            <w:r>
              <w:rPr>
                <w:spacing w:val="-2"/>
                <w:sz w:val="21"/>
              </w:rPr>
              <w:t>一级标准， 见表</w:t>
            </w:r>
            <w:r>
              <w:rPr>
                <w:rFonts w:ascii="Times New Roman" w:eastAsia="Times New Roman"/>
                <w:spacing w:val="-2"/>
                <w:sz w:val="21"/>
              </w:rPr>
              <w:t>3-4</w:t>
            </w:r>
            <w:r>
              <w:rPr>
                <w:spacing w:val="-2"/>
                <w:sz w:val="21"/>
              </w:rPr>
              <w:t>。</w:t>
            </w:r>
          </w:p>
          <w:p>
            <w:pPr>
              <w:pStyle w:val="TableParagraph"/>
              <w:spacing w:line="369" w:lineRule="exact"/>
              <w:ind w:left="1653" w:right="1649"/>
              <w:jc w:val="center"/>
              <w:rPr>
                <w:sz w:val="21"/>
              </w:rPr>
            </w:pPr>
            <w:r>
              <w:rPr>
                <w:sz w:val="21"/>
              </w:rPr>
              <w:t>表 </w:t>
            </w:r>
            <w:r>
              <w:rPr>
                <w:rFonts w:ascii="Arial" w:eastAsia="Arial"/>
                <w:b/>
                <w:sz w:val="21"/>
              </w:rPr>
              <w:t>3-4 </w:t>
            </w:r>
            <w:r>
              <w:rPr>
                <w:sz w:val="21"/>
              </w:rPr>
              <w:t>恶臭污染物排放标准（单位：</w:t>
            </w:r>
            <w:r>
              <w:rPr>
                <w:rFonts w:ascii="Arial" w:eastAsia="Arial"/>
                <w:b/>
                <w:sz w:val="21"/>
              </w:rPr>
              <w:t>mg/m</w:t>
            </w:r>
            <w:r>
              <w:rPr>
                <w:rFonts w:ascii="Arial" w:eastAsia="Arial"/>
                <w:b/>
                <w:sz w:val="21"/>
                <w:vertAlign w:val="superscript"/>
              </w:rPr>
              <w:t>3</w:t>
            </w:r>
            <w:r>
              <w:rPr>
                <w:sz w:val="21"/>
                <w:vertAlign w:val="baseline"/>
              </w:rPr>
              <w:t>）</w:t>
            </w:r>
          </w:p>
          <w:p>
            <w:pPr>
              <w:pStyle w:val="TableParagraph"/>
              <w:rPr>
                <w:sz w:val="26"/>
              </w:rPr>
            </w:pPr>
          </w:p>
          <w:p>
            <w:pPr>
              <w:pStyle w:val="TableParagraph"/>
              <w:spacing w:before="20"/>
              <w:rPr>
                <w:sz w:val="16"/>
              </w:rPr>
            </w:pPr>
          </w:p>
          <w:p>
            <w:pPr>
              <w:pStyle w:val="TableParagraph"/>
              <w:ind w:left="107"/>
              <w:rPr>
                <w:sz w:val="21"/>
              </w:rPr>
            </w:pPr>
            <w:r>
              <w:rPr>
                <w:rFonts w:ascii="Times New Roman" w:eastAsia="Times New Roman"/>
                <w:sz w:val="21"/>
              </w:rPr>
              <w:t>2</w:t>
            </w:r>
            <w:r>
              <w:rPr>
                <w:sz w:val="21"/>
              </w:rPr>
              <w:t>、废水排放标准</w:t>
            </w:r>
          </w:p>
          <w:p>
            <w:pPr>
              <w:pStyle w:val="TableParagraph"/>
              <w:spacing w:line="252" w:lineRule="auto" w:before="23"/>
              <w:ind w:left="107" w:right="96"/>
              <w:rPr>
                <w:sz w:val="21"/>
              </w:rPr>
            </w:pPr>
            <w:r>
              <w:rPr>
                <w:sz w:val="21"/>
              </w:rPr>
              <w:t>项目生活污水纳管执行《污水综合排放标准》（</w:t>
            </w:r>
            <w:r>
              <w:rPr>
                <w:rFonts w:ascii="Times New Roman" w:eastAsia="Times New Roman"/>
                <w:sz w:val="21"/>
              </w:rPr>
              <w:t>GB8978 -1996</w:t>
            </w:r>
            <w:r>
              <w:rPr>
                <w:sz w:val="21"/>
              </w:rPr>
              <w:t>）三级标准，宁波南区污水处理厂处理达到《城镇污水处理厂污染物排放标准》（</w:t>
            </w:r>
            <w:r>
              <w:rPr>
                <w:rFonts w:ascii="Times New Roman" w:eastAsia="Times New Roman"/>
                <w:sz w:val="21"/>
              </w:rPr>
              <w:t>GB18918-2002</w:t>
            </w:r>
            <w:r>
              <w:rPr>
                <w:sz w:val="21"/>
              </w:rPr>
              <w:t>）一级</w:t>
            </w:r>
          </w:p>
          <w:p>
            <w:pPr>
              <w:pStyle w:val="TableParagraph"/>
              <w:spacing w:line="418" w:lineRule="exact" w:before="1"/>
              <w:ind w:left="107"/>
              <w:rPr>
                <w:sz w:val="21"/>
              </w:rPr>
            </w:pPr>
            <w:r>
              <w:rPr>
                <w:rFonts w:ascii="Times New Roman" w:eastAsia="Times New Roman"/>
                <w:sz w:val="21"/>
              </w:rPr>
              <w:t>A</w:t>
            </w:r>
            <w:r>
              <w:rPr>
                <w:sz w:val="21"/>
              </w:rPr>
              <w:t>标准，详见表</w:t>
            </w:r>
            <w:r>
              <w:rPr>
                <w:rFonts w:ascii="Times New Roman" w:eastAsia="Times New Roman"/>
                <w:sz w:val="21"/>
              </w:rPr>
              <w:t>3-5</w:t>
            </w:r>
            <w:r>
              <w:rPr>
                <w:sz w:val="21"/>
              </w:rPr>
              <w:t>。</w:t>
            </w:r>
          </w:p>
          <w:p>
            <w:pPr>
              <w:pStyle w:val="TableParagraph"/>
              <w:spacing w:line="418" w:lineRule="exact"/>
              <w:ind w:left="1653" w:right="1649"/>
              <w:jc w:val="center"/>
              <w:rPr>
                <w:sz w:val="21"/>
              </w:rPr>
            </w:pPr>
            <w:r>
              <w:rPr>
                <w:sz w:val="21"/>
              </w:rPr>
              <w:t>表 </w:t>
            </w:r>
            <w:r>
              <w:rPr>
                <w:rFonts w:ascii="Arial" w:eastAsia="Arial"/>
                <w:b/>
                <w:sz w:val="21"/>
              </w:rPr>
              <w:t>3-5 </w:t>
            </w:r>
            <w:r>
              <w:rPr>
                <w:sz w:val="21"/>
              </w:rPr>
              <w:t>污水排放标准（单位：除 </w:t>
            </w:r>
            <w:r>
              <w:rPr>
                <w:rFonts w:ascii="Arial" w:eastAsia="Arial"/>
                <w:b/>
                <w:sz w:val="21"/>
              </w:rPr>
              <w:t>pH </w:t>
            </w:r>
            <w:r>
              <w:rPr>
                <w:sz w:val="21"/>
              </w:rPr>
              <w:t>外为 </w:t>
            </w:r>
            <w:r>
              <w:rPr>
                <w:rFonts w:ascii="Arial" w:eastAsia="Arial"/>
                <w:b/>
                <w:sz w:val="21"/>
              </w:rPr>
              <w:t>mg/L</w:t>
            </w:r>
            <w:r>
              <w:rPr>
                <w:sz w:val="21"/>
              </w:rPr>
              <w:t>）</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5"/>
              <w:rPr>
                <w:sz w:val="16"/>
              </w:rPr>
            </w:pPr>
          </w:p>
          <w:p>
            <w:pPr>
              <w:pStyle w:val="TableParagraph"/>
              <w:spacing w:before="1"/>
              <w:ind w:left="107"/>
              <w:rPr>
                <w:sz w:val="21"/>
              </w:rPr>
            </w:pPr>
            <w:r>
              <w:rPr>
                <w:rFonts w:ascii="Times New Roman" w:eastAsia="Times New Roman"/>
                <w:sz w:val="21"/>
              </w:rPr>
              <w:t>*</w:t>
            </w:r>
            <w:r>
              <w:rPr>
                <w:sz w:val="21"/>
              </w:rPr>
              <w:t>注：氨氮、总磷纳管执行《污水排入城镇下水道水质标准》。</w:t>
            </w:r>
          </w:p>
          <w:p>
            <w:pPr>
              <w:pStyle w:val="TableParagraph"/>
              <w:spacing w:before="22"/>
              <w:ind w:left="107"/>
              <w:rPr>
                <w:sz w:val="21"/>
              </w:rPr>
            </w:pPr>
            <w:r>
              <w:rPr>
                <w:rFonts w:ascii="Times New Roman" w:eastAsia="Times New Roman"/>
                <w:sz w:val="21"/>
              </w:rPr>
              <w:t>3</w:t>
            </w:r>
            <w:r>
              <w:rPr>
                <w:sz w:val="21"/>
              </w:rPr>
              <w:t>、噪声排放标准</w:t>
            </w:r>
          </w:p>
          <w:p>
            <w:pPr>
              <w:pStyle w:val="TableParagraph"/>
              <w:spacing w:before="23"/>
              <w:ind w:left="107" w:right="-15"/>
              <w:rPr>
                <w:sz w:val="21"/>
              </w:rPr>
            </w:pPr>
            <w:r>
              <w:rPr>
                <w:spacing w:val="-3"/>
                <w:sz w:val="21"/>
              </w:rPr>
              <w:t>施工期噪声执行《建筑施工场界噪声排放标准》</w:t>
            </w:r>
            <w:r>
              <w:rPr>
                <w:sz w:val="21"/>
              </w:rPr>
              <w:t>（</w:t>
            </w:r>
            <w:r>
              <w:rPr>
                <w:rFonts w:ascii="Times New Roman" w:eastAsia="Times New Roman"/>
                <w:sz w:val="21"/>
              </w:rPr>
              <w:t>GB12523-2011</w:t>
            </w:r>
            <w:r>
              <w:rPr>
                <w:sz w:val="21"/>
              </w:rPr>
              <w:t>）；</w:t>
            </w:r>
            <w:r>
              <w:rPr>
                <w:spacing w:val="-3"/>
                <w:sz w:val="21"/>
              </w:rPr>
              <w:t>营运期本项目</w:t>
            </w:r>
          </w:p>
          <w:p>
            <w:pPr>
              <w:pStyle w:val="TableParagraph"/>
              <w:spacing w:line="392" w:lineRule="exact" w:before="20"/>
              <w:ind w:left="2085" w:right="-15" w:hanging="1979"/>
              <w:rPr>
                <w:sz w:val="21"/>
              </w:rPr>
            </w:pPr>
            <w:r>
              <w:rPr>
                <w:spacing w:val="-9"/>
                <w:sz w:val="21"/>
              </w:rPr>
              <w:t>场界区域执行《声环境质量标准》</w:t>
            </w:r>
            <w:r>
              <w:rPr>
                <w:sz w:val="21"/>
              </w:rPr>
              <w:t>（</w:t>
            </w:r>
            <w:r>
              <w:rPr>
                <w:rFonts w:ascii="Times New Roman" w:eastAsia="Times New Roman"/>
                <w:sz w:val="21"/>
              </w:rPr>
              <w:t>GB</w:t>
            </w:r>
            <w:r>
              <w:rPr>
                <w:rFonts w:ascii="Times New Roman" w:eastAsia="Times New Roman"/>
                <w:spacing w:val="6"/>
                <w:sz w:val="21"/>
              </w:rPr>
              <w:t> </w:t>
            </w:r>
            <w:r>
              <w:rPr>
                <w:rFonts w:ascii="Times New Roman" w:eastAsia="Times New Roman"/>
                <w:sz w:val="21"/>
              </w:rPr>
              <w:t>3096-2008</w:t>
            </w:r>
            <w:r>
              <w:rPr>
                <w:rFonts w:ascii="Times New Roman" w:eastAsia="Times New Roman"/>
                <w:spacing w:val="15"/>
                <w:sz w:val="21"/>
              </w:rPr>
              <w:t> </w:t>
            </w:r>
            <w:r>
              <w:rPr>
                <w:spacing w:val="-11"/>
                <w:sz w:val="21"/>
              </w:rPr>
              <w:t>）</w:t>
            </w:r>
            <w:r>
              <w:rPr>
                <w:rFonts w:ascii="Times New Roman" w:eastAsia="Times New Roman"/>
                <w:spacing w:val="-11"/>
                <w:sz w:val="21"/>
              </w:rPr>
              <w:t>1</w:t>
            </w:r>
            <w:r>
              <w:rPr>
                <w:spacing w:val="-6"/>
                <w:sz w:val="21"/>
              </w:rPr>
              <w:t>类标准，具体标准值见表</w:t>
            </w:r>
            <w:r>
              <w:rPr>
                <w:rFonts w:ascii="Times New Roman" w:eastAsia="Times New Roman"/>
                <w:sz w:val="21"/>
              </w:rPr>
              <w:t>3-6</w:t>
            </w:r>
            <w:r>
              <w:rPr>
                <w:sz w:val="21"/>
              </w:rPr>
              <w:t>。</w:t>
            </w:r>
            <w:r>
              <w:rPr>
                <w:spacing w:val="2"/>
                <w:sz w:val="21"/>
              </w:rPr>
              <w:t>表 </w:t>
            </w:r>
            <w:r>
              <w:rPr>
                <w:rFonts w:ascii="Arial" w:eastAsia="Arial"/>
                <w:b/>
                <w:sz w:val="21"/>
              </w:rPr>
              <w:t>3-6</w:t>
            </w:r>
            <w:r>
              <w:rPr>
                <w:rFonts w:ascii="Arial" w:eastAsia="Arial"/>
                <w:b/>
                <w:spacing w:val="45"/>
                <w:sz w:val="21"/>
              </w:rPr>
              <w:t> </w:t>
            </w:r>
            <w:r>
              <w:rPr>
                <w:sz w:val="21"/>
              </w:rPr>
              <w:t>噪声排放标准（</w:t>
            </w:r>
            <w:r>
              <w:rPr>
                <w:spacing w:val="-2"/>
                <w:sz w:val="21"/>
              </w:rPr>
              <w:t>单位：</w:t>
            </w:r>
            <w:r>
              <w:rPr>
                <w:rFonts w:ascii="Arial" w:eastAsia="Arial"/>
                <w:b/>
                <w:sz w:val="21"/>
              </w:rPr>
              <w:t>dB(A</w:t>
            </w:r>
            <w:r>
              <w:rPr>
                <w:rFonts w:ascii="Arial" w:eastAsia="Arial"/>
                <w:b/>
                <w:spacing w:val="23"/>
                <w:sz w:val="21"/>
              </w:rPr>
              <w:t>) </w:t>
            </w:r>
            <w:r>
              <w:rPr>
                <w:sz w:val="21"/>
              </w:rPr>
              <w:t>）</w:t>
            </w:r>
          </w:p>
        </w:tc>
      </w:tr>
      <w:tr>
        <w:trPr>
          <w:trHeight w:val="311" w:hRule="atLeast"/>
        </w:trPr>
        <w:tc>
          <w:tcPr>
            <w:tcW w:w="456" w:type="dxa"/>
            <w:vMerge/>
            <w:tcBorders>
              <w:top w:val="nil"/>
            </w:tcBorders>
          </w:tcPr>
          <w:p>
            <w:pPr>
              <w:rPr>
                <w:sz w:val="2"/>
                <w:szCs w:val="2"/>
              </w:rPr>
            </w:pPr>
          </w:p>
        </w:tc>
        <w:tc>
          <w:tcPr>
            <w:tcW w:w="113" w:type="dxa"/>
            <w:vMerge w:val="restart"/>
            <w:tcBorders>
              <w:top w:val="nil"/>
            </w:tcBorders>
          </w:tcPr>
          <w:p>
            <w:pPr>
              <w:pStyle w:val="TableParagraph"/>
              <w:rPr>
                <w:rFonts w:ascii="Times New Roman"/>
                <w:sz w:val="20"/>
              </w:rPr>
            </w:pPr>
          </w:p>
        </w:tc>
        <w:tc>
          <w:tcPr>
            <w:tcW w:w="2787" w:type="dxa"/>
          </w:tcPr>
          <w:p>
            <w:pPr>
              <w:pStyle w:val="TableParagraph"/>
              <w:spacing w:line="292" w:lineRule="exact"/>
              <w:ind w:left="1058" w:right="1048"/>
              <w:jc w:val="center"/>
              <w:rPr>
                <w:sz w:val="21"/>
              </w:rPr>
            </w:pPr>
            <w:r>
              <w:rPr>
                <w:sz w:val="21"/>
              </w:rPr>
              <w:t>时期</w:t>
            </w:r>
          </w:p>
        </w:tc>
        <w:tc>
          <w:tcPr>
            <w:tcW w:w="2228" w:type="dxa"/>
          </w:tcPr>
          <w:p>
            <w:pPr>
              <w:pStyle w:val="TableParagraph"/>
              <w:spacing w:line="292" w:lineRule="exact"/>
              <w:ind w:left="883" w:right="875"/>
              <w:jc w:val="center"/>
              <w:rPr>
                <w:sz w:val="21"/>
              </w:rPr>
            </w:pPr>
            <w:r>
              <w:rPr>
                <w:sz w:val="21"/>
              </w:rPr>
              <w:t>昼间</w:t>
            </w:r>
          </w:p>
        </w:tc>
        <w:tc>
          <w:tcPr>
            <w:tcW w:w="2603" w:type="dxa"/>
          </w:tcPr>
          <w:p>
            <w:pPr>
              <w:pStyle w:val="TableParagraph"/>
              <w:spacing w:line="292" w:lineRule="exact"/>
              <w:ind w:left="1069" w:right="1063"/>
              <w:jc w:val="center"/>
              <w:rPr>
                <w:sz w:val="21"/>
              </w:rPr>
            </w:pPr>
            <w:r>
              <w:rPr>
                <w:sz w:val="21"/>
              </w:rPr>
              <w:t>夜间</w:t>
            </w:r>
          </w:p>
        </w:tc>
        <w:tc>
          <w:tcPr>
            <w:tcW w:w="114" w:type="dxa"/>
            <w:tcBorders>
              <w:top w:val="nil"/>
              <w:bottom w:val="nil"/>
            </w:tcBorders>
          </w:tcPr>
          <w:p>
            <w:pPr>
              <w:pStyle w:val="TableParagraph"/>
              <w:rPr>
                <w:rFonts w:ascii="Times New Roman"/>
                <w:sz w:val="20"/>
              </w:rPr>
            </w:pPr>
          </w:p>
        </w:tc>
      </w:tr>
      <w:tr>
        <w:trPr>
          <w:trHeight w:val="313" w:hRule="atLeast"/>
        </w:trPr>
        <w:tc>
          <w:tcPr>
            <w:tcW w:w="456" w:type="dxa"/>
            <w:vMerge/>
            <w:tcBorders>
              <w:top w:val="nil"/>
            </w:tcBorders>
          </w:tcPr>
          <w:p>
            <w:pPr>
              <w:rPr>
                <w:sz w:val="2"/>
                <w:szCs w:val="2"/>
              </w:rPr>
            </w:pPr>
          </w:p>
        </w:tc>
        <w:tc>
          <w:tcPr>
            <w:tcW w:w="113" w:type="dxa"/>
            <w:vMerge/>
            <w:tcBorders>
              <w:top w:val="nil"/>
            </w:tcBorders>
          </w:tcPr>
          <w:p>
            <w:pPr>
              <w:rPr>
                <w:sz w:val="2"/>
                <w:szCs w:val="2"/>
              </w:rPr>
            </w:pPr>
          </w:p>
        </w:tc>
        <w:tc>
          <w:tcPr>
            <w:tcW w:w="2787" w:type="dxa"/>
          </w:tcPr>
          <w:p>
            <w:pPr>
              <w:pStyle w:val="TableParagraph"/>
              <w:spacing w:line="294" w:lineRule="exact"/>
              <w:ind w:left="1058" w:right="1048"/>
              <w:jc w:val="center"/>
              <w:rPr>
                <w:sz w:val="21"/>
              </w:rPr>
            </w:pPr>
            <w:r>
              <w:rPr>
                <w:sz w:val="21"/>
              </w:rPr>
              <w:t>施工期</w:t>
            </w:r>
          </w:p>
        </w:tc>
        <w:tc>
          <w:tcPr>
            <w:tcW w:w="2228" w:type="dxa"/>
          </w:tcPr>
          <w:p>
            <w:pPr>
              <w:pStyle w:val="TableParagraph"/>
              <w:spacing w:before="36"/>
              <w:ind w:left="883" w:right="875"/>
              <w:jc w:val="center"/>
              <w:rPr>
                <w:rFonts w:ascii="Times New Roman"/>
                <w:sz w:val="21"/>
              </w:rPr>
            </w:pPr>
            <w:r>
              <w:rPr>
                <w:rFonts w:ascii="Times New Roman"/>
                <w:sz w:val="21"/>
              </w:rPr>
              <w:t>70</w:t>
            </w:r>
          </w:p>
        </w:tc>
        <w:tc>
          <w:tcPr>
            <w:tcW w:w="2603" w:type="dxa"/>
          </w:tcPr>
          <w:p>
            <w:pPr>
              <w:pStyle w:val="TableParagraph"/>
              <w:spacing w:before="36"/>
              <w:ind w:left="1069" w:right="1063"/>
              <w:jc w:val="center"/>
              <w:rPr>
                <w:rFonts w:ascii="Times New Roman"/>
                <w:sz w:val="21"/>
              </w:rPr>
            </w:pPr>
            <w:r>
              <w:rPr>
                <w:rFonts w:ascii="Times New Roman"/>
                <w:sz w:val="21"/>
              </w:rPr>
              <w:t>55</w:t>
            </w:r>
          </w:p>
        </w:tc>
        <w:tc>
          <w:tcPr>
            <w:tcW w:w="114" w:type="dxa"/>
            <w:tcBorders>
              <w:top w:val="nil"/>
              <w:bottom w:val="nil"/>
            </w:tcBorders>
          </w:tcPr>
          <w:p>
            <w:pPr>
              <w:pStyle w:val="TableParagraph"/>
              <w:rPr>
                <w:rFonts w:ascii="Times New Roman"/>
                <w:sz w:val="20"/>
              </w:rPr>
            </w:pPr>
          </w:p>
        </w:tc>
      </w:tr>
      <w:tr>
        <w:trPr>
          <w:trHeight w:val="311" w:hRule="atLeast"/>
        </w:trPr>
        <w:tc>
          <w:tcPr>
            <w:tcW w:w="456" w:type="dxa"/>
            <w:vMerge/>
            <w:tcBorders>
              <w:top w:val="nil"/>
            </w:tcBorders>
          </w:tcPr>
          <w:p>
            <w:pPr>
              <w:rPr>
                <w:sz w:val="2"/>
                <w:szCs w:val="2"/>
              </w:rPr>
            </w:pPr>
          </w:p>
        </w:tc>
        <w:tc>
          <w:tcPr>
            <w:tcW w:w="113" w:type="dxa"/>
            <w:vMerge/>
            <w:tcBorders>
              <w:top w:val="nil"/>
            </w:tcBorders>
          </w:tcPr>
          <w:p>
            <w:pPr>
              <w:rPr>
                <w:sz w:val="2"/>
                <w:szCs w:val="2"/>
              </w:rPr>
            </w:pPr>
          </w:p>
        </w:tc>
        <w:tc>
          <w:tcPr>
            <w:tcW w:w="2787" w:type="dxa"/>
            <w:tcBorders>
              <w:bottom w:val="single" w:sz="8" w:space="0" w:color="000000"/>
            </w:tcBorders>
          </w:tcPr>
          <w:p>
            <w:pPr>
              <w:pStyle w:val="TableParagraph"/>
              <w:spacing w:line="291" w:lineRule="exact"/>
              <w:ind w:left="1058" w:right="1048"/>
              <w:jc w:val="center"/>
              <w:rPr>
                <w:sz w:val="21"/>
              </w:rPr>
            </w:pPr>
            <w:r>
              <w:rPr>
                <w:sz w:val="21"/>
              </w:rPr>
              <w:t>营运期</w:t>
            </w:r>
          </w:p>
        </w:tc>
        <w:tc>
          <w:tcPr>
            <w:tcW w:w="2228" w:type="dxa"/>
            <w:tcBorders>
              <w:bottom w:val="single" w:sz="8" w:space="0" w:color="000000"/>
            </w:tcBorders>
          </w:tcPr>
          <w:p>
            <w:pPr>
              <w:pStyle w:val="TableParagraph"/>
              <w:spacing w:before="34"/>
              <w:ind w:left="883" w:right="875"/>
              <w:jc w:val="center"/>
              <w:rPr>
                <w:rFonts w:ascii="Times New Roman"/>
                <w:sz w:val="21"/>
              </w:rPr>
            </w:pPr>
            <w:r>
              <w:rPr>
                <w:rFonts w:ascii="Times New Roman"/>
                <w:sz w:val="21"/>
              </w:rPr>
              <w:t>55</w:t>
            </w:r>
          </w:p>
        </w:tc>
        <w:tc>
          <w:tcPr>
            <w:tcW w:w="2603" w:type="dxa"/>
            <w:tcBorders>
              <w:bottom w:val="single" w:sz="8" w:space="0" w:color="000000"/>
            </w:tcBorders>
          </w:tcPr>
          <w:p>
            <w:pPr>
              <w:pStyle w:val="TableParagraph"/>
              <w:spacing w:before="34"/>
              <w:ind w:left="1069" w:right="1063"/>
              <w:jc w:val="center"/>
              <w:rPr>
                <w:rFonts w:ascii="Times New Roman"/>
                <w:sz w:val="21"/>
              </w:rPr>
            </w:pPr>
            <w:r>
              <w:rPr>
                <w:rFonts w:ascii="Times New Roman"/>
                <w:sz w:val="21"/>
              </w:rPr>
              <w:t>45</w:t>
            </w:r>
          </w:p>
        </w:tc>
        <w:tc>
          <w:tcPr>
            <w:tcW w:w="114" w:type="dxa"/>
            <w:tcBorders>
              <w:top w:val="nil"/>
            </w:tcBorders>
          </w:tcPr>
          <w:p>
            <w:pPr>
              <w:pStyle w:val="TableParagraph"/>
              <w:rPr>
                <w:rFonts w:ascii="Times New Roman"/>
                <w:sz w:val="20"/>
              </w:rPr>
            </w:pPr>
          </w:p>
        </w:tc>
      </w:tr>
      <w:tr>
        <w:trPr>
          <w:trHeight w:val="2457" w:hRule="atLeast"/>
        </w:trPr>
        <w:tc>
          <w:tcPr>
            <w:tcW w:w="456" w:type="dxa"/>
          </w:tcPr>
          <w:p>
            <w:pPr>
              <w:pStyle w:val="TableParagraph"/>
              <w:spacing w:before="10"/>
              <w:rPr>
                <w:sz w:val="14"/>
              </w:rPr>
            </w:pPr>
          </w:p>
          <w:p>
            <w:pPr>
              <w:pStyle w:val="TableParagraph"/>
              <w:spacing w:line="168" w:lineRule="auto" w:before="1"/>
              <w:ind w:left="107" w:right="126"/>
              <w:jc w:val="both"/>
              <w:rPr>
                <w:sz w:val="21"/>
              </w:rPr>
            </w:pPr>
            <w:r>
              <w:rPr>
                <w:sz w:val="21"/>
              </w:rPr>
              <w:t>总量控制指标</w:t>
            </w:r>
          </w:p>
        </w:tc>
        <w:tc>
          <w:tcPr>
            <w:tcW w:w="7845" w:type="dxa"/>
            <w:gridSpan w:val="5"/>
            <w:tcBorders>
              <w:top w:val="single" w:sz="8" w:space="0" w:color="000000"/>
            </w:tcBorders>
          </w:tcPr>
          <w:p>
            <w:pPr>
              <w:pStyle w:val="TableParagraph"/>
              <w:rPr>
                <w:sz w:val="20"/>
              </w:rPr>
            </w:pPr>
          </w:p>
          <w:p>
            <w:pPr>
              <w:pStyle w:val="TableParagraph"/>
              <w:spacing w:before="16"/>
              <w:rPr>
                <w:sz w:val="26"/>
              </w:rPr>
            </w:pPr>
          </w:p>
          <w:p>
            <w:pPr>
              <w:pStyle w:val="TableParagraph"/>
              <w:ind w:left="107"/>
              <w:rPr>
                <w:sz w:val="21"/>
              </w:rPr>
            </w:pPr>
            <w:r>
              <w:rPr>
                <w:sz w:val="21"/>
              </w:rPr>
              <w:t>本项目为房产项目，不进行污染物排放总量的考核。</w:t>
            </w:r>
          </w:p>
        </w:tc>
      </w:tr>
    </w:tbl>
    <w:p>
      <w:pPr>
        <w:rPr>
          <w:sz w:val="2"/>
          <w:szCs w:val="2"/>
        </w:rPr>
      </w:pPr>
      <w:r>
        <w:rPr/>
        <w:pict>
          <v:shape style="position:absolute;margin-left:118.459999pt;margin-top:158.299988pt;width:381.6pt;height:48.4pt;mso-position-horizontal-relative:page;mso-position-vertical-relative:page;z-index:112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3"/>
                    <w:gridCol w:w="658"/>
                    <w:gridCol w:w="1160"/>
                    <w:gridCol w:w="1163"/>
                    <w:gridCol w:w="1160"/>
                    <w:gridCol w:w="2027"/>
                  </w:tblGrid>
                  <w:tr>
                    <w:trPr>
                      <w:trHeight w:val="467" w:hRule="atLeast"/>
                    </w:trPr>
                    <w:tc>
                      <w:tcPr>
                        <w:tcW w:w="1453" w:type="dxa"/>
                      </w:tcPr>
                      <w:p>
                        <w:pPr>
                          <w:pStyle w:val="TableParagraph"/>
                          <w:spacing w:line="444" w:lineRule="exact"/>
                          <w:ind w:left="304"/>
                          <w:rPr>
                            <w:sz w:val="21"/>
                          </w:rPr>
                        </w:pPr>
                        <w:r>
                          <w:rPr>
                            <w:sz w:val="21"/>
                          </w:rPr>
                          <w:t>控制项目</w:t>
                        </w:r>
                      </w:p>
                    </w:tc>
                    <w:tc>
                      <w:tcPr>
                        <w:tcW w:w="658" w:type="dxa"/>
                      </w:tcPr>
                      <w:p>
                        <w:pPr>
                          <w:pStyle w:val="TableParagraph"/>
                          <w:spacing w:line="444" w:lineRule="exact"/>
                          <w:ind w:left="222"/>
                          <w:rPr>
                            <w:sz w:val="21"/>
                          </w:rPr>
                        </w:pPr>
                        <w:r>
                          <w:rPr>
                            <w:w w:val="100"/>
                            <w:sz w:val="21"/>
                          </w:rPr>
                          <w:t>氨</w:t>
                        </w:r>
                      </w:p>
                    </w:tc>
                    <w:tc>
                      <w:tcPr>
                        <w:tcW w:w="1160" w:type="dxa"/>
                      </w:tcPr>
                      <w:p>
                        <w:pPr>
                          <w:pStyle w:val="TableParagraph"/>
                          <w:spacing w:line="444" w:lineRule="exact"/>
                          <w:ind w:left="243" w:right="234"/>
                          <w:jc w:val="center"/>
                          <w:rPr>
                            <w:sz w:val="21"/>
                          </w:rPr>
                        </w:pPr>
                        <w:r>
                          <w:rPr>
                            <w:sz w:val="21"/>
                          </w:rPr>
                          <w:t>三甲胺</w:t>
                        </w:r>
                      </w:p>
                    </w:tc>
                    <w:tc>
                      <w:tcPr>
                        <w:tcW w:w="1163" w:type="dxa"/>
                      </w:tcPr>
                      <w:p>
                        <w:pPr>
                          <w:pStyle w:val="TableParagraph"/>
                          <w:spacing w:line="444" w:lineRule="exact"/>
                          <w:ind w:left="244" w:right="239"/>
                          <w:jc w:val="center"/>
                          <w:rPr>
                            <w:sz w:val="21"/>
                          </w:rPr>
                        </w:pPr>
                        <w:r>
                          <w:rPr>
                            <w:sz w:val="21"/>
                          </w:rPr>
                          <w:t>硫化氢</w:t>
                        </w:r>
                      </w:p>
                    </w:tc>
                    <w:tc>
                      <w:tcPr>
                        <w:tcW w:w="1160" w:type="dxa"/>
                      </w:tcPr>
                      <w:p>
                        <w:pPr>
                          <w:pStyle w:val="TableParagraph"/>
                          <w:spacing w:line="444" w:lineRule="exact"/>
                          <w:ind w:left="241" w:right="235"/>
                          <w:jc w:val="center"/>
                          <w:rPr>
                            <w:sz w:val="21"/>
                          </w:rPr>
                        </w:pPr>
                        <w:r>
                          <w:rPr>
                            <w:sz w:val="21"/>
                          </w:rPr>
                          <w:t>甲硫醇</w:t>
                        </w:r>
                      </w:p>
                    </w:tc>
                    <w:tc>
                      <w:tcPr>
                        <w:tcW w:w="2027" w:type="dxa"/>
                      </w:tcPr>
                      <w:p>
                        <w:pPr>
                          <w:pStyle w:val="TableParagraph"/>
                          <w:spacing w:line="444" w:lineRule="exact"/>
                          <w:ind w:left="359" w:right="356"/>
                          <w:jc w:val="center"/>
                          <w:rPr>
                            <w:sz w:val="21"/>
                          </w:rPr>
                        </w:pPr>
                        <w:r>
                          <w:rPr>
                            <w:sz w:val="21"/>
                          </w:rPr>
                          <w:t>臭气浓度</w:t>
                        </w:r>
                      </w:p>
                    </w:tc>
                  </w:tr>
                  <w:tr>
                    <w:trPr>
                      <w:trHeight w:val="470" w:hRule="atLeast"/>
                    </w:trPr>
                    <w:tc>
                      <w:tcPr>
                        <w:tcW w:w="1453" w:type="dxa"/>
                      </w:tcPr>
                      <w:p>
                        <w:pPr>
                          <w:pStyle w:val="TableParagraph"/>
                          <w:spacing w:line="444" w:lineRule="exact"/>
                          <w:ind w:left="304"/>
                          <w:rPr>
                            <w:sz w:val="21"/>
                          </w:rPr>
                        </w:pPr>
                        <w:r>
                          <w:rPr>
                            <w:sz w:val="21"/>
                          </w:rPr>
                          <w:t>厂界标准</w:t>
                        </w:r>
                      </w:p>
                    </w:tc>
                    <w:tc>
                      <w:tcPr>
                        <w:tcW w:w="658" w:type="dxa"/>
                      </w:tcPr>
                      <w:p>
                        <w:pPr>
                          <w:pStyle w:val="TableParagraph"/>
                          <w:spacing w:before="111"/>
                          <w:ind w:left="196"/>
                          <w:rPr>
                            <w:rFonts w:ascii="Times New Roman"/>
                            <w:sz w:val="21"/>
                          </w:rPr>
                        </w:pPr>
                        <w:r>
                          <w:rPr>
                            <w:rFonts w:ascii="Times New Roman"/>
                            <w:sz w:val="21"/>
                          </w:rPr>
                          <w:t>1.5</w:t>
                        </w:r>
                      </w:p>
                    </w:tc>
                    <w:tc>
                      <w:tcPr>
                        <w:tcW w:w="1160" w:type="dxa"/>
                      </w:tcPr>
                      <w:p>
                        <w:pPr>
                          <w:pStyle w:val="TableParagraph"/>
                          <w:spacing w:before="111"/>
                          <w:ind w:left="243" w:right="234"/>
                          <w:jc w:val="center"/>
                          <w:rPr>
                            <w:rFonts w:ascii="Times New Roman"/>
                            <w:sz w:val="21"/>
                          </w:rPr>
                        </w:pPr>
                        <w:r>
                          <w:rPr>
                            <w:rFonts w:ascii="Times New Roman"/>
                            <w:sz w:val="21"/>
                          </w:rPr>
                          <w:t>0.08</w:t>
                        </w:r>
                      </w:p>
                    </w:tc>
                    <w:tc>
                      <w:tcPr>
                        <w:tcW w:w="1163" w:type="dxa"/>
                      </w:tcPr>
                      <w:p>
                        <w:pPr>
                          <w:pStyle w:val="TableParagraph"/>
                          <w:spacing w:before="111"/>
                          <w:ind w:left="244" w:right="239"/>
                          <w:jc w:val="center"/>
                          <w:rPr>
                            <w:rFonts w:ascii="Times New Roman"/>
                            <w:sz w:val="21"/>
                          </w:rPr>
                        </w:pPr>
                        <w:r>
                          <w:rPr>
                            <w:rFonts w:ascii="Times New Roman"/>
                            <w:sz w:val="21"/>
                          </w:rPr>
                          <w:t>0.06</w:t>
                        </w:r>
                      </w:p>
                    </w:tc>
                    <w:tc>
                      <w:tcPr>
                        <w:tcW w:w="1160" w:type="dxa"/>
                      </w:tcPr>
                      <w:p>
                        <w:pPr>
                          <w:pStyle w:val="TableParagraph"/>
                          <w:spacing w:before="111"/>
                          <w:ind w:left="241" w:right="235"/>
                          <w:jc w:val="center"/>
                          <w:rPr>
                            <w:rFonts w:ascii="Times New Roman"/>
                            <w:sz w:val="21"/>
                          </w:rPr>
                        </w:pPr>
                        <w:r>
                          <w:rPr>
                            <w:rFonts w:ascii="Times New Roman"/>
                            <w:sz w:val="21"/>
                          </w:rPr>
                          <w:t>0.007</w:t>
                        </w:r>
                      </w:p>
                    </w:tc>
                    <w:tc>
                      <w:tcPr>
                        <w:tcW w:w="2027" w:type="dxa"/>
                      </w:tcPr>
                      <w:p>
                        <w:pPr>
                          <w:pStyle w:val="TableParagraph"/>
                          <w:spacing w:line="444" w:lineRule="exact"/>
                          <w:ind w:left="359" w:right="358"/>
                          <w:jc w:val="center"/>
                          <w:rPr>
                            <w:sz w:val="21"/>
                          </w:rPr>
                        </w:pPr>
                        <w:r>
                          <w:rPr>
                            <w:rFonts w:ascii="Times New Roman" w:eastAsia="Times New Roman"/>
                            <w:sz w:val="21"/>
                          </w:rPr>
                          <w:t>20</w:t>
                        </w:r>
                        <w:r>
                          <w:rPr>
                            <w:sz w:val="21"/>
                          </w:rPr>
                          <w:t>（无量纲）</w:t>
                        </w:r>
                      </w:p>
                    </w:tc>
                  </w:tr>
                </w:tbl>
                <w:p>
                  <w:pPr>
                    <w:pStyle w:val="BodyText"/>
                  </w:pPr>
                </w:p>
              </w:txbxContent>
            </v:textbox>
            <w10:wrap type="none"/>
          </v:shape>
        </w:pict>
      </w:r>
      <w:r>
        <w:rPr/>
        <w:pict>
          <v:shape style="position:absolute;margin-left:118.459999pt;margin-top:315.889984pt;width:381.6pt;height:147.75pt;mso-position-horizontal-relative:page;mso-position-vertical-relative:page;z-index:114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3"/>
                    <w:gridCol w:w="708"/>
                    <w:gridCol w:w="710"/>
                    <w:gridCol w:w="850"/>
                    <w:gridCol w:w="1138"/>
                    <w:gridCol w:w="992"/>
                    <w:gridCol w:w="816"/>
                  </w:tblGrid>
                  <w:tr>
                    <w:trPr>
                      <w:trHeight w:val="371" w:hRule="atLeast"/>
                    </w:trPr>
                    <w:tc>
                      <w:tcPr>
                        <w:tcW w:w="2403" w:type="dxa"/>
                      </w:tcPr>
                      <w:p>
                        <w:pPr>
                          <w:pStyle w:val="TableParagraph"/>
                          <w:spacing w:line="352" w:lineRule="exact"/>
                          <w:ind w:left="132" w:right="121"/>
                          <w:jc w:val="center"/>
                          <w:rPr>
                            <w:sz w:val="21"/>
                          </w:rPr>
                        </w:pPr>
                        <w:r>
                          <w:rPr>
                            <w:sz w:val="21"/>
                          </w:rPr>
                          <w:t>名称</w:t>
                        </w:r>
                      </w:p>
                    </w:tc>
                    <w:tc>
                      <w:tcPr>
                        <w:tcW w:w="708" w:type="dxa"/>
                      </w:tcPr>
                      <w:p>
                        <w:pPr>
                          <w:pStyle w:val="TableParagraph"/>
                          <w:spacing w:before="94"/>
                          <w:ind w:left="123" w:right="113"/>
                          <w:jc w:val="center"/>
                          <w:rPr>
                            <w:rFonts w:ascii="Times New Roman"/>
                            <w:sz w:val="21"/>
                          </w:rPr>
                        </w:pPr>
                        <w:r>
                          <w:rPr>
                            <w:rFonts w:ascii="Times New Roman"/>
                            <w:sz w:val="21"/>
                          </w:rPr>
                          <w:t>pH</w:t>
                        </w:r>
                      </w:p>
                    </w:tc>
                    <w:tc>
                      <w:tcPr>
                        <w:tcW w:w="710" w:type="dxa"/>
                      </w:tcPr>
                      <w:p>
                        <w:pPr>
                          <w:pStyle w:val="TableParagraph"/>
                          <w:spacing w:before="94"/>
                          <w:ind w:left="237"/>
                          <w:rPr>
                            <w:rFonts w:ascii="Times New Roman"/>
                            <w:sz w:val="21"/>
                          </w:rPr>
                        </w:pPr>
                        <w:r>
                          <w:rPr>
                            <w:rFonts w:ascii="Times New Roman"/>
                            <w:sz w:val="21"/>
                          </w:rPr>
                          <w:t>SS</w:t>
                        </w:r>
                      </w:p>
                    </w:tc>
                    <w:tc>
                      <w:tcPr>
                        <w:tcW w:w="850" w:type="dxa"/>
                      </w:tcPr>
                      <w:p>
                        <w:pPr>
                          <w:pStyle w:val="TableParagraph"/>
                          <w:spacing w:before="94"/>
                          <w:ind w:left="150" w:right="137"/>
                          <w:jc w:val="center"/>
                          <w:rPr>
                            <w:rFonts w:ascii="Times New Roman"/>
                            <w:sz w:val="21"/>
                          </w:rPr>
                        </w:pPr>
                        <w:r>
                          <w:rPr>
                            <w:rFonts w:ascii="Times New Roman"/>
                            <w:sz w:val="21"/>
                          </w:rPr>
                          <w:t>BOD</w:t>
                        </w:r>
                        <w:r>
                          <w:rPr>
                            <w:rFonts w:ascii="Times New Roman"/>
                            <w:sz w:val="21"/>
                            <w:vertAlign w:val="subscript"/>
                          </w:rPr>
                          <w:t>5</w:t>
                        </w:r>
                      </w:p>
                    </w:tc>
                    <w:tc>
                      <w:tcPr>
                        <w:tcW w:w="1138" w:type="dxa"/>
                      </w:tcPr>
                      <w:p>
                        <w:pPr>
                          <w:pStyle w:val="TableParagraph"/>
                          <w:spacing w:before="94"/>
                          <w:ind w:left="259" w:right="248"/>
                          <w:jc w:val="center"/>
                          <w:rPr>
                            <w:rFonts w:ascii="Times New Roman"/>
                            <w:sz w:val="21"/>
                          </w:rPr>
                        </w:pPr>
                        <w:r>
                          <w:rPr>
                            <w:rFonts w:ascii="Times New Roman"/>
                            <w:sz w:val="21"/>
                          </w:rPr>
                          <w:t>COD</w:t>
                        </w:r>
                        <w:r>
                          <w:rPr>
                            <w:rFonts w:ascii="Times New Roman"/>
                            <w:sz w:val="21"/>
                            <w:vertAlign w:val="subscript"/>
                          </w:rPr>
                          <w:t>Cr</w:t>
                        </w:r>
                      </w:p>
                    </w:tc>
                    <w:tc>
                      <w:tcPr>
                        <w:tcW w:w="992" w:type="dxa"/>
                      </w:tcPr>
                      <w:p>
                        <w:pPr>
                          <w:pStyle w:val="TableParagraph"/>
                          <w:spacing w:line="352" w:lineRule="exact"/>
                          <w:ind w:left="82" w:right="71"/>
                          <w:jc w:val="center"/>
                          <w:rPr>
                            <w:sz w:val="21"/>
                          </w:rPr>
                        </w:pPr>
                        <w:r>
                          <w:rPr>
                            <w:sz w:val="21"/>
                          </w:rPr>
                          <w:t>氨氮</w:t>
                        </w:r>
                      </w:p>
                    </w:tc>
                    <w:tc>
                      <w:tcPr>
                        <w:tcW w:w="816" w:type="dxa"/>
                      </w:tcPr>
                      <w:p>
                        <w:pPr>
                          <w:pStyle w:val="TableParagraph"/>
                          <w:spacing w:line="352" w:lineRule="exact"/>
                          <w:ind w:left="177" w:right="168"/>
                          <w:jc w:val="center"/>
                          <w:rPr>
                            <w:sz w:val="21"/>
                          </w:rPr>
                        </w:pPr>
                        <w:r>
                          <w:rPr>
                            <w:sz w:val="21"/>
                          </w:rPr>
                          <w:t>总磷</w:t>
                        </w:r>
                      </w:p>
                    </w:tc>
                  </w:tr>
                  <w:tr>
                    <w:trPr>
                      <w:trHeight w:val="1115" w:hRule="atLeast"/>
                    </w:trPr>
                    <w:tc>
                      <w:tcPr>
                        <w:tcW w:w="2403" w:type="dxa"/>
                      </w:tcPr>
                      <w:p>
                        <w:pPr>
                          <w:pStyle w:val="TableParagraph"/>
                          <w:spacing w:line="427" w:lineRule="exact"/>
                          <w:ind w:left="132" w:right="121"/>
                          <w:jc w:val="center"/>
                          <w:rPr>
                            <w:sz w:val="21"/>
                          </w:rPr>
                        </w:pPr>
                        <w:r>
                          <w:rPr>
                            <w:sz w:val="21"/>
                          </w:rPr>
                          <w:t>《污水综合排放标准》</w:t>
                        </w:r>
                      </w:p>
                      <w:p>
                        <w:pPr>
                          <w:pStyle w:val="TableParagraph"/>
                          <w:spacing w:before="39"/>
                          <w:ind w:left="132" w:right="121"/>
                          <w:jc w:val="center"/>
                          <w:rPr>
                            <w:rFonts w:ascii="Times New Roman"/>
                            <w:sz w:val="21"/>
                          </w:rPr>
                        </w:pPr>
                        <w:r>
                          <w:rPr>
                            <w:rFonts w:ascii="Times New Roman"/>
                            <w:sz w:val="21"/>
                          </w:rPr>
                          <w:t>GB8978-1996</w:t>
                        </w:r>
                      </w:p>
                      <w:p>
                        <w:pPr>
                          <w:pStyle w:val="TableParagraph"/>
                          <w:spacing w:line="370" w:lineRule="exact" w:before="18"/>
                          <w:ind w:left="130" w:right="121"/>
                          <w:jc w:val="center"/>
                          <w:rPr>
                            <w:sz w:val="21"/>
                          </w:rPr>
                        </w:pPr>
                        <w:r>
                          <w:rPr>
                            <w:sz w:val="21"/>
                          </w:rPr>
                          <w:t>三级标准</w:t>
                        </w:r>
                      </w:p>
                    </w:tc>
                    <w:tc>
                      <w:tcPr>
                        <w:tcW w:w="708" w:type="dxa"/>
                      </w:tcPr>
                      <w:p>
                        <w:pPr>
                          <w:pStyle w:val="TableParagraph"/>
                          <w:spacing w:before="14"/>
                          <w:rPr>
                            <w:sz w:val="16"/>
                          </w:rPr>
                        </w:pPr>
                      </w:p>
                      <w:p>
                        <w:pPr>
                          <w:pStyle w:val="TableParagraph"/>
                          <w:ind w:left="125" w:right="113"/>
                          <w:jc w:val="center"/>
                          <w:rPr>
                            <w:rFonts w:ascii="Times New Roman" w:eastAsia="Times New Roman"/>
                            <w:sz w:val="21"/>
                          </w:rPr>
                        </w:pPr>
                        <w:r>
                          <w:rPr>
                            <w:rFonts w:ascii="Times New Roman" w:eastAsia="Times New Roman"/>
                            <w:sz w:val="21"/>
                          </w:rPr>
                          <w:t>6</w:t>
                        </w:r>
                        <w:r>
                          <w:rPr>
                            <w:sz w:val="21"/>
                          </w:rPr>
                          <w:t>～</w:t>
                        </w:r>
                        <w:r>
                          <w:rPr>
                            <w:rFonts w:ascii="Times New Roman" w:eastAsia="Times New Roman"/>
                            <w:sz w:val="21"/>
                          </w:rPr>
                          <w:t>9</w:t>
                        </w:r>
                      </w:p>
                    </w:tc>
                    <w:tc>
                      <w:tcPr>
                        <w:tcW w:w="710" w:type="dxa"/>
                      </w:tcPr>
                      <w:p>
                        <w:pPr>
                          <w:pStyle w:val="TableParagraph"/>
                          <w:spacing w:before="20"/>
                          <w:rPr>
                            <w:sz w:val="21"/>
                          </w:rPr>
                        </w:pPr>
                      </w:p>
                      <w:p>
                        <w:pPr>
                          <w:pStyle w:val="TableParagraph"/>
                          <w:spacing w:before="1"/>
                          <w:ind w:left="196"/>
                          <w:rPr>
                            <w:rFonts w:ascii="Times New Roman"/>
                            <w:sz w:val="21"/>
                          </w:rPr>
                        </w:pPr>
                        <w:r>
                          <w:rPr>
                            <w:rFonts w:ascii="Times New Roman"/>
                            <w:sz w:val="21"/>
                          </w:rPr>
                          <w:t>400</w:t>
                        </w:r>
                      </w:p>
                    </w:tc>
                    <w:tc>
                      <w:tcPr>
                        <w:tcW w:w="850" w:type="dxa"/>
                      </w:tcPr>
                      <w:p>
                        <w:pPr>
                          <w:pStyle w:val="TableParagraph"/>
                          <w:spacing w:before="20"/>
                          <w:rPr>
                            <w:sz w:val="21"/>
                          </w:rPr>
                        </w:pPr>
                      </w:p>
                      <w:p>
                        <w:pPr>
                          <w:pStyle w:val="TableParagraph"/>
                          <w:spacing w:before="1"/>
                          <w:ind w:left="147" w:right="137"/>
                          <w:jc w:val="center"/>
                          <w:rPr>
                            <w:rFonts w:ascii="Times New Roman"/>
                            <w:sz w:val="21"/>
                          </w:rPr>
                        </w:pPr>
                        <w:r>
                          <w:rPr>
                            <w:rFonts w:ascii="Times New Roman"/>
                            <w:sz w:val="21"/>
                          </w:rPr>
                          <w:t>300</w:t>
                        </w:r>
                      </w:p>
                    </w:tc>
                    <w:tc>
                      <w:tcPr>
                        <w:tcW w:w="1138" w:type="dxa"/>
                      </w:tcPr>
                      <w:p>
                        <w:pPr>
                          <w:pStyle w:val="TableParagraph"/>
                          <w:spacing w:before="20"/>
                          <w:rPr>
                            <w:sz w:val="21"/>
                          </w:rPr>
                        </w:pPr>
                      </w:p>
                      <w:p>
                        <w:pPr>
                          <w:pStyle w:val="TableParagraph"/>
                          <w:spacing w:before="1"/>
                          <w:ind w:left="258" w:right="248"/>
                          <w:jc w:val="center"/>
                          <w:rPr>
                            <w:rFonts w:ascii="Times New Roman"/>
                            <w:sz w:val="21"/>
                          </w:rPr>
                        </w:pPr>
                        <w:r>
                          <w:rPr>
                            <w:rFonts w:ascii="Times New Roman"/>
                            <w:sz w:val="21"/>
                          </w:rPr>
                          <w:t>500</w:t>
                        </w:r>
                      </w:p>
                    </w:tc>
                    <w:tc>
                      <w:tcPr>
                        <w:tcW w:w="992" w:type="dxa"/>
                      </w:tcPr>
                      <w:p>
                        <w:pPr>
                          <w:pStyle w:val="TableParagraph"/>
                          <w:spacing w:before="20"/>
                          <w:rPr>
                            <w:sz w:val="21"/>
                          </w:rPr>
                        </w:pPr>
                      </w:p>
                      <w:p>
                        <w:pPr>
                          <w:pStyle w:val="TableParagraph"/>
                          <w:spacing w:before="1"/>
                          <w:ind w:left="78" w:right="72"/>
                          <w:jc w:val="center"/>
                          <w:rPr>
                            <w:rFonts w:ascii="Times New Roman"/>
                            <w:sz w:val="21"/>
                          </w:rPr>
                        </w:pPr>
                        <w:r>
                          <w:rPr>
                            <w:rFonts w:ascii="Times New Roman"/>
                            <w:sz w:val="21"/>
                          </w:rPr>
                          <w:t>45</w:t>
                        </w:r>
                      </w:p>
                    </w:tc>
                    <w:tc>
                      <w:tcPr>
                        <w:tcW w:w="816" w:type="dxa"/>
                      </w:tcPr>
                      <w:p>
                        <w:pPr>
                          <w:pStyle w:val="TableParagraph"/>
                          <w:spacing w:before="20"/>
                          <w:rPr>
                            <w:sz w:val="21"/>
                          </w:rPr>
                        </w:pPr>
                      </w:p>
                      <w:p>
                        <w:pPr>
                          <w:pStyle w:val="TableParagraph"/>
                          <w:spacing w:before="1"/>
                          <w:ind w:left="9"/>
                          <w:jc w:val="center"/>
                          <w:rPr>
                            <w:rFonts w:ascii="Times New Roman"/>
                            <w:sz w:val="21"/>
                          </w:rPr>
                        </w:pPr>
                        <w:r>
                          <w:rPr>
                            <w:rFonts w:ascii="Times New Roman"/>
                            <w:w w:val="100"/>
                            <w:sz w:val="21"/>
                          </w:rPr>
                          <w:t>8</w:t>
                        </w:r>
                      </w:p>
                    </w:tc>
                  </w:tr>
                  <w:tr>
                    <w:trPr>
                      <w:trHeight w:val="1427" w:hRule="atLeast"/>
                    </w:trPr>
                    <w:tc>
                      <w:tcPr>
                        <w:tcW w:w="2403" w:type="dxa"/>
                      </w:tcPr>
                      <w:p>
                        <w:pPr>
                          <w:pStyle w:val="TableParagraph"/>
                          <w:spacing w:line="168" w:lineRule="auto" w:before="75"/>
                          <w:ind w:left="151" w:right="137"/>
                          <w:jc w:val="center"/>
                          <w:rPr>
                            <w:sz w:val="21"/>
                          </w:rPr>
                        </w:pPr>
                        <w:r>
                          <w:rPr>
                            <w:spacing w:val="-3"/>
                            <w:sz w:val="21"/>
                          </w:rPr>
                          <w:t>《城镇污水处理厂污染物排放标准》</w:t>
                        </w:r>
                      </w:p>
                      <w:p>
                        <w:pPr>
                          <w:pStyle w:val="TableParagraph"/>
                          <w:spacing w:before="80"/>
                          <w:ind w:left="130" w:right="121"/>
                          <w:jc w:val="center"/>
                          <w:rPr>
                            <w:rFonts w:ascii="Times New Roman"/>
                            <w:sz w:val="21"/>
                          </w:rPr>
                        </w:pPr>
                        <w:r>
                          <w:rPr>
                            <w:rFonts w:ascii="Times New Roman"/>
                            <w:sz w:val="21"/>
                          </w:rPr>
                          <w:t>GB18918-2002</w:t>
                        </w:r>
                      </w:p>
                      <w:p>
                        <w:pPr>
                          <w:pStyle w:val="TableParagraph"/>
                          <w:spacing w:line="370" w:lineRule="exact" w:before="18"/>
                          <w:ind w:left="132" w:right="121"/>
                          <w:jc w:val="center"/>
                          <w:rPr>
                            <w:sz w:val="21"/>
                          </w:rPr>
                        </w:pPr>
                        <w:r>
                          <w:rPr>
                            <w:sz w:val="21"/>
                          </w:rPr>
                          <w:t>一级 </w:t>
                        </w:r>
                        <w:r>
                          <w:rPr>
                            <w:rFonts w:ascii="Times New Roman" w:eastAsia="Times New Roman"/>
                            <w:sz w:val="21"/>
                          </w:rPr>
                          <w:t>A </w:t>
                        </w:r>
                        <w:r>
                          <w:rPr>
                            <w:sz w:val="21"/>
                          </w:rPr>
                          <w:t>标准</w:t>
                        </w:r>
                      </w:p>
                    </w:tc>
                    <w:tc>
                      <w:tcPr>
                        <w:tcW w:w="708" w:type="dxa"/>
                      </w:tcPr>
                      <w:p>
                        <w:pPr>
                          <w:pStyle w:val="TableParagraph"/>
                          <w:spacing w:before="1"/>
                          <w:rPr>
                            <w:sz w:val="24"/>
                          </w:rPr>
                        </w:pPr>
                      </w:p>
                      <w:p>
                        <w:pPr>
                          <w:pStyle w:val="TableParagraph"/>
                          <w:ind w:left="125" w:right="113"/>
                          <w:jc w:val="center"/>
                          <w:rPr>
                            <w:rFonts w:ascii="Times New Roman" w:eastAsia="Times New Roman"/>
                            <w:sz w:val="21"/>
                          </w:rPr>
                        </w:pPr>
                        <w:r>
                          <w:rPr>
                            <w:rFonts w:ascii="Times New Roman" w:eastAsia="Times New Roman"/>
                            <w:sz w:val="21"/>
                          </w:rPr>
                          <w:t>6</w:t>
                        </w:r>
                        <w:r>
                          <w:rPr>
                            <w:sz w:val="21"/>
                          </w:rPr>
                          <w:t>～</w:t>
                        </w:r>
                        <w:r>
                          <w:rPr>
                            <w:rFonts w:ascii="Times New Roman" w:eastAsia="Times New Roman"/>
                            <w:sz w:val="21"/>
                          </w:rPr>
                          <w:t>9</w:t>
                        </w:r>
                      </w:p>
                    </w:tc>
                    <w:tc>
                      <w:tcPr>
                        <w:tcW w:w="710" w:type="dxa"/>
                      </w:tcPr>
                      <w:p>
                        <w:pPr>
                          <w:pStyle w:val="TableParagraph"/>
                          <w:spacing w:before="7"/>
                          <w:rPr>
                            <w:sz w:val="29"/>
                          </w:rPr>
                        </w:pPr>
                      </w:p>
                      <w:p>
                        <w:pPr>
                          <w:pStyle w:val="TableParagraph"/>
                          <w:ind w:left="249"/>
                          <w:rPr>
                            <w:rFonts w:ascii="Times New Roman"/>
                            <w:sz w:val="21"/>
                          </w:rPr>
                        </w:pPr>
                        <w:r>
                          <w:rPr>
                            <w:rFonts w:ascii="Times New Roman"/>
                            <w:sz w:val="21"/>
                          </w:rPr>
                          <w:t>10</w:t>
                        </w:r>
                      </w:p>
                    </w:tc>
                    <w:tc>
                      <w:tcPr>
                        <w:tcW w:w="850" w:type="dxa"/>
                      </w:tcPr>
                      <w:p>
                        <w:pPr>
                          <w:pStyle w:val="TableParagraph"/>
                          <w:spacing w:before="7"/>
                          <w:rPr>
                            <w:sz w:val="29"/>
                          </w:rPr>
                        </w:pPr>
                      </w:p>
                      <w:p>
                        <w:pPr>
                          <w:pStyle w:val="TableParagraph"/>
                          <w:ind w:left="147" w:right="137"/>
                          <w:jc w:val="center"/>
                          <w:rPr>
                            <w:rFonts w:ascii="Times New Roman"/>
                            <w:sz w:val="21"/>
                          </w:rPr>
                        </w:pPr>
                        <w:r>
                          <w:rPr>
                            <w:rFonts w:ascii="Times New Roman"/>
                            <w:sz w:val="21"/>
                          </w:rPr>
                          <w:t>10</w:t>
                        </w:r>
                      </w:p>
                    </w:tc>
                    <w:tc>
                      <w:tcPr>
                        <w:tcW w:w="1138" w:type="dxa"/>
                      </w:tcPr>
                      <w:p>
                        <w:pPr>
                          <w:pStyle w:val="TableParagraph"/>
                          <w:spacing w:before="7"/>
                          <w:rPr>
                            <w:sz w:val="29"/>
                          </w:rPr>
                        </w:pPr>
                      </w:p>
                      <w:p>
                        <w:pPr>
                          <w:pStyle w:val="TableParagraph"/>
                          <w:ind w:left="253" w:right="248"/>
                          <w:jc w:val="center"/>
                          <w:rPr>
                            <w:rFonts w:ascii="Times New Roman"/>
                            <w:sz w:val="21"/>
                          </w:rPr>
                        </w:pPr>
                        <w:r>
                          <w:rPr>
                            <w:rFonts w:ascii="Times New Roman"/>
                            <w:sz w:val="21"/>
                          </w:rPr>
                          <w:t>50</w:t>
                        </w:r>
                      </w:p>
                    </w:tc>
                    <w:tc>
                      <w:tcPr>
                        <w:tcW w:w="992" w:type="dxa"/>
                      </w:tcPr>
                      <w:p>
                        <w:pPr>
                          <w:pStyle w:val="TableParagraph"/>
                          <w:spacing w:before="1"/>
                          <w:rPr>
                            <w:sz w:val="24"/>
                          </w:rPr>
                        </w:pPr>
                      </w:p>
                      <w:p>
                        <w:pPr>
                          <w:pStyle w:val="TableParagraph"/>
                          <w:ind w:left="82" w:right="71"/>
                          <w:jc w:val="center"/>
                          <w:rPr>
                            <w:sz w:val="21"/>
                          </w:rPr>
                        </w:pPr>
                        <w:r>
                          <w:rPr>
                            <w:rFonts w:ascii="Times New Roman" w:eastAsia="Times New Roman"/>
                            <w:sz w:val="21"/>
                          </w:rPr>
                          <w:t>5</w:t>
                        </w:r>
                        <w:r>
                          <w:rPr>
                            <w:sz w:val="21"/>
                          </w:rPr>
                          <w:t>（</w:t>
                        </w:r>
                        <w:r>
                          <w:rPr>
                            <w:rFonts w:ascii="Times New Roman" w:eastAsia="Times New Roman"/>
                            <w:sz w:val="21"/>
                          </w:rPr>
                          <w:t>8</w:t>
                        </w:r>
                        <w:r>
                          <w:rPr>
                            <w:sz w:val="21"/>
                          </w:rPr>
                          <w:t>）</w:t>
                        </w:r>
                      </w:p>
                    </w:tc>
                    <w:tc>
                      <w:tcPr>
                        <w:tcW w:w="816" w:type="dxa"/>
                      </w:tcPr>
                      <w:p>
                        <w:pPr>
                          <w:pStyle w:val="TableParagraph"/>
                          <w:spacing w:before="7"/>
                          <w:rPr>
                            <w:sz w:val="29"/>
                          </w:rPr>
                        </w:pPr>
                      </w:p>
                      <w:p>
                        <w:pPr>
                          <w:pStyle w:val="TableParagraph"/>
                          <w:ind w:left="177" w:right="168"/>
                          <w:jc w:val="center"/>
                          <w:rPr>
                            <w:rFonts w:ascii="Times New Roman"/>
                            <w:sz w:val="21"/>
                          </w:rPr>
                        </w:pPr>
                        <w:r>
                          <w:rPr>
                            <w:rFonts w:ascii="Times New Roman"/>
                            <w:sz w:val="21"/>
                          </w:rPr>
                          <w:t>0.5</w:t>
                        </w:r>
                      </w:p>
                    </w:tc>
                  </w:tr>
                </w:tbl>
                <w:p>
                  <w:pPr>
                    <w:pStyle w:val="BodyText"/>
                  </w:pPr>
                </w:p>
              </w:txbxContent>
            </v:textbox>
            <w10:wrap type="none"/>
          </v:shape>
        </w:pict>
      </w:r>
    </w:p>
    <w:p>
      <w:pPr>
        <w:spacing w:after="0"/>
        <w:rPr>
          <w:sz w:val="2"/>
          <w:szCs w:val="2"/>
        </w:rPr>
        <w:sectPr>
          <w:pgSz w:w="11910" w:h="16840"/>
          <w:pgMar w:header="877" w:footer="1146" w:top="1420" w:bottom="1340" w:left="1200" w:right="1340"/>
        </w:sectPr>
      </w:pPr>
    </w:p>
    <w:p>
      <w:pPr>
        <w:pStyle w:val="Heading1"/>
        <w:numPr>
          <w:ilvl w:val="0"/>
          <w:numId w:val="2"/>
        </w:numPr>
        <w:tabs>
          <w:tab w:pos="1020" w:val="left" w:leader="none"/>
          <w:tab w:pos="1021" w:val="left" w:leader="none"/>
        </w:tabs>
        <w:spacing w:line="645" w:lineRule="exact" w:before="0" w:after="0"/>
        <w:ind w:left="1020" w:right="0" w:hanging="420"/>
        <w:jc w:val="left"/>
        <w:rPr>
          <w:rFonts w:ascii="Noto Sans CJK JP Regular" w:eastAsia="Noto Sans CJK JP Regular" w:hint="eastAsia"/>
        </w:rPr>
      </w:pPr>
      <w:bookmarkStart w:name="_TOC_250007" w:id="4"/>
      <w:bookmarkEnd w:id="4"/>
      <w:r>
        <w:rPr>
          <w:rFonts w:ascii="Noto Sans CJK JP Regular" w:eastAsia="Noto Sans CJK JP Regular" w:hint="eastAsia"/>
        </w:rPr>
        <w:t>工程概况</w:t>
      </w:r>
    </w:p>
    <w:tbl>
      <w:tblPr>
        <w:tblW w:w="0" w:type="auto"/>
        <w:jc w:val="left"/>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
        <w:gridCol w:w="559"/>
        <w:gridCol w:w="768"/>
        <w:gridCol w:w="1921"/>
        <w:gridCol w:w="1441"/>
        <w:gridCol w:w="3385"/>
        <w:gridCol w:w="113"/>
      </w:tblGrid>
      <w:tr>
        <w:trPr>
          <w:trHeight w:val="520" w:hRule="atLeast"/>
        </w:trPr>
        <w:tc>
          <w:tcPr>
            <w:tcW w:w="3361" w:type="dxa"/>
            <w:gridSpan w:val="4"/>
          </w:tcPr>
          <w:p>
            <w:pPr>
              <w:pStyle w:val="TableParagraph"/>
              <w:spacing w:before="19"/>
              <w:ind w:left="820" w:right="810"/>
              <w:jc w:val="center"/>
              <w:rPr>
                <w:sz w:val="21"/>
              </w:rPr>
            </w:pPr>
            <w:r>
              <w:rPr>
                <w:sz w:val="21"/>
              </w:rPr>
              <w:t>项目名称</w:t>
            </w:r>
          </w:p>
        </w:tc>
        <w:tc>
          <w:tcPr>
            <w:tcW w:w="4939" w:type="dxa"/>
            <w:gridSpan w:val="3"/>
          </w:tcPr>
          <w:p>
            <w:pPr>
              <w:pStyle w:val="TableParagraph"/>
              <w:spacing w:before="19"/>
              <w:ind w:left="786"/>
              <w:rPr>
                <w:sz w:val="21"/>
              </w:rPr>
            </w:pPr>
            <w:r>
              <w:rPr>
                <w:sz w:val="21"/>
              </w:rPr>
              <w:t>东钱湖国际教育论坛项目（博物馆）</w:t>
            </w:r>
          </w:p>
        </w:tc>
      </w:tr>
      <w:tr>
        <w:trPr>
          <w:trHeight w:val="623" w:hRule="atLeast"/>
        </w:trPr>
        <w:tc>
          <w:tcPr>
            <w:tcW w:w="3361" w:type="dxa"/>
            <w:gridSpan w:val="4"/>
          </w:tcPr>
          <w:p>
            <w:pPr>
              <w:pStyle w:val="TableParagraph"/>
              <w:spacing w:line="295" w:lineRule="exact"/>
              <w:ind w:left="818" w:right="810"/>
              <w:jc w:val="center"/>
              <w:rPr>
                <w:sz w:val="21"/>
              </w:rPr>
            </w:pPr>
            <w:r>
              <w:rPr>
                <w:sz w:val="21"/>
              </w:rPr>
              <w:t>项目地理位置</w:t>
            </w:r>
          </w:p>
          <w:p>
            <w:pPr>
              <w:pStyle w:val="TableParagraph"/>
              <w:spacing w:line="309" w:lineRule="exact"/>
              <w:ind w:left="821" w:right="810"/>
              <w:jc w:val="center"/>
              <w:rPr>
                <w:sz w:val="21"/>
              </w:rPr>
            </w:pPr>
            <w:r>
              <w:rPr>
                <w:sz w:val="21"/>
              </w:rPr>
              <w:t>（附地理位置图）</w:t>
            </w:r>
          </w:p>
        </w:tc>
        <w:tc>
          <w:tcPr>
            <w:tcW w:w="4939" w:type="dxa"/>
            <w:gridSpan w:val="3"/>
          </w:tcPr>
          <w:p>
            <w:pPr>
              <w:pStyle w:val="TableParagraph"/>
              <w:spacing w:before="69"/>
              <w:ind w:left="786"/>
              <w:rPr>
                <w:sz w:val="21"/>
              </w:rPr>
            </w:pPr>
            <w:r>
              <w:rPr>
                <w:sz w:val="21"/>
              </w:rPr>
              <w:t>宁波东钱湖旅游度假区连心路Ⅲ地块</w:t>
            </w:r>
          </w:p>
        </w:tc>
      </w:tr>
      <w:tr>
        <w:trPr>
          <w:trHeight w:val="1247" w:hRule="atLeast"/>
        </w:trPr>
        <w:tc>
          <w:tcPr>
            <w:tcW w:w="8300" w:type="dxa"/>
            <w:gridSpan w:val="7"/>
          </w:tcPr>
          <w:p>
            <w:pPr>
              <w:pStyle w:val="TableParagraph"/>
              <w:spacing w:line="438" w:lineRule="exact"/>
              <w:ind w:left="107"/>
              <w:rPr>
                <w:sz w:val="21"/>
              </w:rPr>
            </w:pPr>
            <w:r>
              <w:rPr>
                <w:sz w:val="21"/>
              </w:rPr>
              <w:t>主要工程内容及规模：</w:t>
            </w:r>
          </w:p>
          <w:p>
            <w:pPr>
              <w:pStyle w:val="TableParagraph"/>
              <w:spacing w:line="418" w:lineRule="exact" w:before="22"/>
              <w:ind w:left="107"/>
              <w:rPr>
                <w:sz w:val="21"/>
              </w:rPr>
            </w:pPr>
            <w:r>
              <w:rPr>
                <w:sz w:val="21"/>
              </w:rPr>
              <w:t>本项目实际总投资约</w:t>
            </w:r>
            <w:r>
              <w:rPr>
                <w:rFonts w:ascii="Times New Roman" w:eastAsia="Times New Roman"/>
                <w:sz w:val="21"/>
              </w:rPr>
              <w:t>12000</w:t>
            </w:r>
            <w:r>
              <w:rPr>
                <w:sz w:val="21"/>
              </w:rPr>
              <w:t>万元，总用地面积</w:t>
            </w:r>
            <w:r>
              <w:rPr>
                <w:rFonts w:ascii="Times New Roman" w:eastAsia="Times New Roman"/>
                <w:sz w:val="21"/>
              </w:rPr>
              <w:t>8050.21 m</w:t>
            </w:r>
            <w:r>
              <w:rPr>
                <w:rFonts w:ascii="Times New Roman" w:eastAsia="Times New Roman"/>
                <w:sz w:val="21"/>
                <w:vertAlign w:val="superscript"/>
              </w:rPr>
              <w:t>2</w:t>
            </w:r>
            <w:r>
              <w:rPr>
                <w:sz w:val="21"/>
                <w:vertAlign w:val="baseline"/>
              </w:rPr>
              <w:t>，总建筑面积</w:t>
            </w:r>
            <w:r>
              <w:rPr>
                <w:rFonts w:ascii="Times New Roman" w:eastAsia="Times New Roman"/>
                <w:sz w:val="21"/>
                <w:vertAlign w:val="baseline"/>
              </w:rPr>
              <w:t>6268.05 m</w:t>
            </w:r>
            <w:r>
              <w:rPr>
                <w:rFonts w:ascii="Times New Roman" w:eastAsia="Times New Roman"/>
                <w:sz w:val="21"/>
                <w:vertAlign w:val="superscript"/>
              </w:rPr>
              <w:t>2</w:t>
            </w:r>
            <w:r>
              <w:rPr>
                <w:sz w:val="21"/>
                <w:vertAlign w:val="baseline"/>
              </w:rPr>
              <w:t>。</w:t>
            </w:r>
          </w:p>
          <w:p>
            <w:pPr>
              <w:pStyle w:val="TableParagraph"/>
              <w:spacing w:line="348" w:lineRule="exact"/>
              <w:ind w:left="2874" w:right="2867"/>
              <w:jc w:val="center"/>
              <w:rPr>
                <w:sz w:val="21"/>
              </w:rPr>
            </w:pPr>
            <w:r>
              <w:rPr>
                <w:sz w:val="21"/>
              </w:rPr>
              <w:t>表 </w:t>
            </w:r>
            <w:r>
              <w:rPr>
                <w:rFonts w:ascii="Arial" w:eastAsia="Arial"/>
                <w:b/>
                <w:sz w:val="21"/>
              </w:rPr>
              <w:t>4-1 </w:t>
            </w:r>
            <w:r>
              <w:rPr>
                <w:sz w:val="21"/>
              </w:rPr>
              <w:t>项目建设内容一览表</w:t>
            </w:r>
          </w:p>
        </w:tc>
      </w:tr>
      <w:tr>
        <w:trPr>
          <w:trHeight w:val="410" w:hRule="atLeast"/>
        </w:trPr>
        <w:tc>
          <w:tcPr>
            <w:tcW w:w="113" w:type="dxa"/>
            <w:tcBorders>
              <w:top w:val="nil"/>
              <w:bottom w:val="nil"/>
            </w:tcBorders>
          </w:tcPr>
          <w:p>
            <w:pPr>
              <w:pStyle w:val="TableParagraph"/>
              <w:rPr>
                <w:rFonts w:ascii="Times New Roman"/>
                <w:sz w:val="20"/>
              </w:rPr>
            </w:pPr>
          </w:p>
        </w:tc>
        <w:tc>
          <w:tcPr>
            <w:tcW w:w="1327" w:type="dxa"/>
            <w:gridSpan w:val="2"/>
          </w:tcPr>
          <w:p>
            <w:pPr>
              <w:pStyle w:val="TableParagraph"/>
              <w:spacing w:line="340" w:lineRule="exact"/>
              <w:ind w:left="107"/>
              <w:rPr>
                <w:sz w:val="21"/>
              </w:rPr>
            </w:pPr>
            <w:r>
              <w:rPr>
                <w:sz w:val="21"/>
              </w:rPr>
              <w:t>工程类别</w:t>
            </w:r>
          </w:p>
        </w:tc>
        <w:tc>
          <w:tcPr>
            <w:tcW w:w="3362" w:type="dxa"/>
            <w:gridSpan w:val="2"/>
          </w:tcPr>
          <w:p>
            <w:pPr>
              <w:pStyle w:val="TableParagraph"/>
              <w:spacing w:line="340" w:lineRule="exact"/>
              <w:ind w:left="107"/>
              <w:rPr>
                <w:sz w:val="21"/>
              </w:rPr>
            </w:pPr>
            <w:r>
              <w:rPr>
                <w:sz w:val="21"/>
              </w:rPr>
              <w:t>环评报告中工程内容</w:t>
            </w:r>
          </w:p>
        </w:tc>
        <w:tc>
          <w:tcPr>
            <w:tcW w:w="3385" w:type="dxa"/>
          </w:tcPr>
          <w:p>
            <w:pPr>
              <w:pStyle w:val="TableParagraph"/>
              <w:spacing w:line="340" w:lineRule="exact"/>
              <w:ind w:left="106"/>
              <w:rPr>
                <w:sz w:val="21"/>
              </w:rPr>
            </w:pPr>
            <w:r>
              <w:rPr>
                <w:sz w:val="21"/>
              </w:rPr>
              <w:t>实际建设内容</w:t>
            </w:r>
          </w:p>
        </w:tc>
        <w:tc>
          <w:tcPr>
            <w:tcW w:w="113" w:type="dxa"/>
            <w:tcBorders>
              <w:top w:val="nil"/>
              <w:bottom w:val="nil"/>
            </w:tcBorders>
          </w:tcPr>
          <w:p>
            <w:pPr>
              <w:pStyle w:val="TableParagraph"/>
              <w:rPr>
                <w:rFonts w:ascii="Times New Roman"/>
                <w:sz w:val="20"/>
              </w:rPr>
            </w:pPr>
          </w:p>
        </w:tc>
      </w:tr>
      <w:tr>
        <w:trPr>
          <w:trHeight w:val="2985" w:hRule="atLeast"/>
        </w:trPr>
        <w:tc>
          <w:tcPr>
            <w:tcW w:w="113" w:type="dxa"/>
            <w:tcBorders>
              <w:top w:val="nil"/>
              <w:bottom w:val="nil"/>
            </w:tcBorders>
          </w:tcPr>
          <w:p>
            <w:pPr>
              <w:pStyle w:val="TableParagraph"/>
              <w:rPr>
                <w:rFonts w:ascii="Times New Roman"/>
                <w:sz w:val="20"/>
              </w:rPr>
            </w:pPr>
          </w:p>
        </w:tc>
        <w:tc>
          <w:tcPr>
            <w:tcW w:w="1327" w:type="dxa"/>
            <w:gridSpan w:val="2"/>
          </w:tcPr>
          <w:p>
            <w:pPr>
              <w:pStyle w:val="TableParagraph"/>
              <w:rPr>
                <w:sz w:val="20"/>
              </w:rPr>
            </w:pPr>
          </w:p>
          <w:p>
            <w:pPr>
              <w:pStyle w:val="TableParagraph"/>
              <w:rPr>
                <w:sz w:val="20"/>
              </w:rPr>
            </w:pPr>
          </w:p>
          <w:p>
            <w:pPr>
              <w:pStyle w:val="TableParagraph"/>
              <w:spacing w:before="17"/>
              <w:rPr>
                <w:sz w:val="15"/>
              </w:rPr>
            </w:pPr>
          </w:p>
          <w:p>
            <w:pPr>
              <w:pStyle w:val="TableParagraph"/>
              <w:ind w:left="107"/>
              <w:rPr>
                <w:sz w:val="21"/>
              </w:rPr>
            </w:pPr>
            <w:r>
              <w:rPr>
                <w:sz w:val="21"/>
              </w:rPr>
              <w:t>主体工程</w:t>
            </w:r>
          </w:p>
        </w:tc>
        <w:tc>
          <w:tcPr>
            <w:tcW w:w="3362" w:type="dxa"/>
            <w:gridSpan w:val="2"/>
          </w:tcPr>
          <w:p>
            <w:pPr>
              <w:pStyle w:val="TableParagraph"/>
              <w:rPr>
                <w:sz w:val="28"/>
              </w:rPr>
            </w:pPr>
          </w:p>
          <w:p>
            <w:pPr>
              <w:pStyle w:val="TableParagraph"/>
              <w:spacing w:line="220" w:lineRule="auto"/>
              <w:ind w:left="107" w:right="92" w:firstLine="420"/>
              <w:jc w:val="both"/>
              <w:rPr>
                <w:sz w:val="21"/>
              </w:rPr>
            </w:pPr>
            <w:r>
              <w:rPr>
                <w:spacing w:val="14"/>
                <w:sz w:val="21"/>
              </w:rPr>
              <w:t>本项目总用地面积约</w:t>
            </w:r>
            <w:r>
              <w:rPr>
                <w:rFonts w:ascii="Times New Roman" w:eastAsia="Times New Roman"/>
                <w:sz w:val="21"/>
              </w:rPr>
              <w:t>8050.21 m</w:t>
            </w:r>
            <w:r>
              <w:rPr>
                <w:rFonts w:ascii="Times New Roman" w:eastAsia="Times New Roman"/>
                <w:sz w:val="21"/>
                <w:vertAlign w:val="superscript"/>
              </w:rPr>
              <w:t>2</w:t>
            </w:r>
            <w:r>
              <w:rPr>
                <w:sz w:val="21"/>
                <w:vertAlign w:val="baseline"/>
              </w:rPr>
              <w:t>，总建筑面积</w:t>
            </w:r>
            <w:r>
              <w:rPr>
                <w:rFonts w:ascii="Times New Roman" w:eastAsia="Times New Roman"/>
                <w:sz w:val="21"/>
                <w:vertAlign w:val="baseline"/>
              </w:rPr>
              <w:t>6393.50</w:t>
            </w:r>
            <w:r>
              <w:rPr>
                <w:rFonts w:ascii="Times New Roman" w:eastAsia="Times New Roman"/>
                <w:spacing w:val="51"/>
                <w:sz w:val="21"/>
                <w:vertAlign w:val="baseline"/>
              </w:rPr>
              <w:t> </w:t>
            </w:r>
            <w:r>
              <w:rPr>
                <w:rFonts w:ascii="Times New Roman" w:eastAsia="Times New Roman"/>
                <w:sz w:val="21"/>
                <w:vertAlign w:val="baseline"/>
              </w:rPr>
              <w:t>m</w:t>
            </w:r>
            <w:r>
              <w:rPr>
                <w:rFonts w:ascii="Times New Roman" w:eastAsia="Times New Roman"/>
                <w:sz w:val="21"/>
                <w:vertAlign w:val="superscript"/>
              </w:rPr>
              <w:t>2</w:t>
            </w:r>
            <w:r>
              <w:rPr>
                <w:sz w:val="21"/>
                <w:vertAlign w:val="baseline"/>
              </w:rPr>
              <w:t>，主要</w:t>
            </w:r>
            <w:r>
              <w:rPr>
                <w:spacing w:val="-4"/>
                <w:sz w:val="21"/>
                <w:vertAlign w:val="baseline"/>
              </w:rPr>
              <w:t>建设博物馆及其设备用房。地下共</w:t>
            </w:r>
          </w:p>
          <w:p>
            <w:pPr>
              <w:pStyle w:val="TableParagraph"/>
              <w:spacing w:line="418" w:lineRule="exact"/>
              <w:ind w:left="107"/>
              <w:rPr>
                <w:sz w:val="21"/>
              </w:rPr>
            </w:pPr>
            <w:r>
              <w:rPr>
                <w:rFonts w:ascii="Times New Roman" w:eastAsia="Times New Roman"/>
                <w:sz w:val="21"/>
              </w:rPr>
              <w:t>1</w:t>
            </w:r>
            <w:r>
              <w:rPr>
                <w:sz w:val="21"/>
              </w:rPr>
              <w:t>层。</w:t>
            </w:r>
          </w:p>
        </w:tc>
        <w:tc>
          <w:tcPr>
            <w:tcW w:w="3385" w:type="dxa"/>
          </w:tcPr>
          <w:p>
            <w:pPr>
              <w:pStyle w:val="TableParagraph"/>
              <w:spacing w:line="427" w:lineRule="exact" w:before="161"/>
              <w:ind w:left="526"/>
              <w:rPr>
                <w:rFonts w:ascii="Times New Roman" w:eastAsia="Times New Roman"/>
                <w:sz w:val="21"/>
              </w:rPr>
            </w:pPr>
            <w:r>
              <w:rPr>
                <w:sz w:val="21"/>
              </w:rPr>
              <w:t>本项目总用地面积约</w:t>
            </w:r>
            <w:r>
              <w:rPr>
                <w:rFonts w:ascii="Times New Roman" w:eastAsia="Times New Roman"/>
                <w:sz w:val="21"/>
              </w:rPr>
              <w:t>8050.21</w:t>
            </w:r>
          </w:p>
          <w:p>
            <w:pPr>
              <w:pStyle w:val="TableParagraph"/>
              <w:spacing w:line="220" w:lineRule="auto" w:before="6"/>
              <w:ind w:left="106" w:right="97"/>
              <w:jc w:val="both"/>
              <w:rPr>
                <w:sz w:val="21"/>
              </w:rPr>
            </w:pPr>
            <w:r>
              <w:rPr>
                <w:rFonts w:ascii="Times New Roman" w:eastAsia="Times New Roman"/>
                <w:spacing w:val="-4"/>
                <w:w w:val="100"/>
                <w:sz w:val="21"/>
              </w:rPr>
              <w:t>m</w:t>
            </w:r>
            <w:r>
              <w:rPr>
                <w:rFonts w:ascii="Times New Roman" w:eastAsia="Times New Roman"/>
                <w:spacing w:val="7"/>
                <w:w w:val="97"/>
                <w:sz w:val="21"/>
                <w:vertAlign w:val="superscript"/>
              </w:rPr>
              <w:t>2</w:t>
            </w:r>
            <w:r>
              <w:rPr>
                <w:spacing w:val="6"/>
                <w:w w:val="100"/>
                <w:sz w:val="21"/>
                <w:vertAlign w:val="baseline"/>
              </w:rPr>
              <w:t>（</w:t>
            </w:r>
            <w:r>
              <w:rPr>
                <w:spacing w:val="4"/>
                <w:w w:val="100"/>
                <w:sz w:val="21"/>
                <w:vertAlign w:val="baseline"/>
              </w:rPr>
              <w:t>项目立项、土地证面积</w:t>
            </w:r>
            <w:r>
              <w:rPr>
                <w:spacing w:val="-101"/>
                <w:w w:val="100"/>
                <w:sz w:val="21"/>
                <w:vertAlign w:val="baseline"/>
              </w:rPr>
              <w:t>）</w:t>
            </w:r>
            <w:r>
              <w:rPr>
                <w:spacing w:val="3"/>
                <w:w w:val="100"/>
                <w:sz w:val="21"/>
                <w:vertAlign w:val="baseline"/>
              </w:rPr>
              <w:t>，总</w:t>
            </w:r>
            <w:r>
              <w:rPr>
                <w:spacing w:val="2"/>
                <w:sz w:val="21"/>
                <w:vertAlign w:val="baseline"/>
              </w:rPr>
              <w:t>建筑面积</w:t>
            </w:r>
            <w:r>
              <w:rPr>
                <w:rFonts w:ascii="Times New Roman" w:eastAsia="Times New Roman"/>
                <w:sz w:val="21"/>
                <w:vertAlign w:val="baseline"/>
              </w:rPr>
              <w:t>6268.05 m</w:t>
            </w:r>
            <w:r>
              <w:rPr>
                <w:rFonts w:ascii="Times New Roman" w:eastAsia="Times New Roman"/>
                <w:sz w:val="21"/>
                <w:vertAlign w:val="superscript"/>
              </w:rPr>
              <w:t>2</w:t>
            </w:r>
            <w:r>
              <w:rPr>
                <w:sz w:val="21"/>
                <w:vertAlign w:val="baseline"/>
              </w:rPr>
              <w:t>，主要建设博</w:t>
            </w:r>
            <w:r>
              <w:rPr>
                <w:spacing w:val="-8"/>
                <w:sz w:val="21"/>
                <w:vertAlign w:val="baseline"/>
              </w:rPr>
              <w:t>物馆及其设备用房。地下共</w:t>
            </w:r>
            <w:r>
              <w:rPr>
                <w:rFonts w:ascii="Times New Roman" w:eastAsia="Times New Roman"/>
                <w:sz w:val="21"/>
                <w:vertAlign w:val="baseline"/>
              </w:rPr>
              <w:t>1</w:t>
            </w:r>
            <w:r>
              <w:rPr>
                <w:spacing w:val="-16"/>
                <w:sz w:val="21"/>
                <w:vertAlign w:val="baseline"/>
              </w:rPr>
              <w:t>层。项目经济技术指标略有调整，主要建</w:t>
            </w:r>
            <w:r>
              <w:rPr>
                <w:spacing w:val="-7"/>
                <w:sz w:val="21"/>
                <w:vertAlign w:val="baseline"/>
              </w:rPr>
              <w:t>设内容与环评基本一致。</w:t>
            </w:r>
          </w:p>
        </w:tc>
        <w:tc>
          <w:tcPr>
            <w:tcW w:w="113" w:type="dxa"/>
            <w:tcBorders>
              <w:top w:val="nil"/>
              <w:bottom w:val="nil"/>
            </w:tcBorders>
          </w:tcPr>
          <w:p>
            <w:pPr>
              <w:pStyle w:val="TableParagraph"/>
              <w:rPr>
                <w:rFonts w:ascii="Times New Roman"/>
                <w:sz w:val="20"/>
              </w:rPr>
            </w:pPr>
          </w:p>
        </w:tc>
      </w:tr>
      <w:tr>
        <w:trPr>
          <w:trHeight w:val="2855" w:hRule="atLeast"/>
        </w:trPr>
        <w:tc>
          <w:tcPr>
            <w:tcW w:w="113" w:type="dxa"/>
            <w:vMerge w:val="restart"/>
            <w:tcBorders>
              <w:top w:val="nil"/>
            </w:tcBorders>
          </w:tcPr>
          <w:p>
            <w:pPr>
              <w:pStyle w:val="TableParagraph"/>
              <w:rPr>
                <w:rFonts w:ascii="Times New Roman"/>
                <w:sz w:val="20"/>
              </w:rPr>
            </w:pPr>
          </w:p>
        </w:tc>
        <w:tc>
          <w:tcPr>
            <w:tcW w:w="559" w:type="dxa"/>
            <w:vMerge w:val="restart"/>
            <w:tcBorders>
              <w:bottom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
              <w:rPr>
                <w:sz w:val="21"/>
              </w:rPr>
            </w:pPr>
          </w:p>
          <w:p>
            <w:pPr>
              <w:pStyle w:val="TableParagraph"/>
              <w:spacing w:line="220" w:lineRule="auto"/>
              <w:ind w:left="107" w:right="228"/>
              <w:jc w:val="both"/>
              <w:rPr>
                <w:sz w:val="21"/>
              </w:rPr>
            </w:pPr>
            <w:r>
              <w:rPr>
                <w:sz w:val="21"/>
              </w:rPr>
              <w:t>公用工程</w:t>
            </w:r>
          </w:p>
        </w:tc>
        <w:tc>
          <w:tcPr>
            <w:tcW w:w="768" w:type="dxa"/>
          </w:tcPr>
          <w:p>
            <w:pPr>
              <w:pStyle w:val="TableParagraph"/>
              <w:rPr>
                <w:sz w:val="20"/>
              </w:rPr>
            </w:pPr>
          </w:p>
          <w:p>
            <w:pPr>
              <w:pStyle w:val="TableParagraph"/>
              <w:rPr>
                <w:sz w:val="20"/>
              </w:rPr>
            </w:pPr>
          </w:p>
          <w:p>
            <w:pPr>
              <w:pStyle w:val="TableParagraph"/>
              <w:spacing w:before="19"/>
              <w:rPr>
                <w:sz w:val="12"/>
              </w:rPr>
            </w:pPr>
          </w:p>
          <w:p>
            <w:pPr>
              <w:pStyle w:val="TableParagraph"/>
              <w:ind w:left="107"/>
              <w:rPr>
                <w:sz w:val="21"/>
              </w:rPr>
            </w:pPr>
            <w:r>
              <w:rPr>
                <w:sz w:val="21"/>
              </w:rPr>
              <w:t>给水</w:t>
            </w:r>
          </w:p>
        </w:tc>
        <w:tc>
          <w:tcPr>
            <w:tcW w:w="3362" w:type="dxa"/>
            <w:gridSpan w:val="2"/>
          </w:tcPr>
          <w:p>
            <w:pPr>
              <w:pStyle w:val="TableParagraph"/>
              <w:spacing w:line="321" w:lineRule="exact"/>
              <w:ind w:left="107"/>
              <w:rPr>
                <w:sz w:val="21"/>
              </w:rPr>
            </w:pPr>
            <w:r>
              <w:rPr>
                <w:sz w:val="21"/>
              </w:rPr>
              <w:t>近期保留莫枝、韩岭及下水三座现</w:t>
            </w:r>
          </w:p>
          <w:p>
            <w:pPr>
              <w:pStyle w:val="TableParagraph"/>
              <w:spacing w:line="220" w:lineRule="auto" w:before="6"/>
              <w:ind w:left="107" w:right="-15"/>
              <w:jc w:val="both"/>
              <w:rPr>
                <w:sz w:val="21"/>
              </w:rPr>
            </w:pPr>
            <w:r>
              <w:rPr>
                <w:spacing w:val="-3"/>
                <w:sz w:val="21"/>
              </w:rPr>
              <w:t>状水厂，远期由东钱湖水厂供水， </w:t>
            </w:r>
            <w:r>
              <w:rPr>
                <w:spacing w:val="-4"/>
                <w:sz w:val="21"/>
              </w:rPr>
              <w:t>水源以白溪水库为主。逐步采取分</w:t>
            </w:r>
            <w:r>
              <w:rPr>
                <w:spacing w:val="-5"/>
                <w:sz w:val="21"/>
              </w:rPr>
              <w:t>质供水，水库等优质水源供居民生活用水，对水质要求不高的工业企</w:t>
            </w:r>
            <w:r>
              <w:rPr>
                <w:spacing w:val="-10"/>
                <w:sz w:val="21"/>
              </w:rPr>
              <w:t>业和其他用水</w:t>
            </w:r>
            <w:r>
              <w:rPr>
                <w:sz w:val="21"/>
              </w:rPr>
              <w:t>（</w:t>
            </w:r>
            <w:r>
              <w:rPr>
                <w:spacing w:val="-14"/>
                <w:sz w:val="21"/>
              </w:rPr>
              <w:t>市政、绿化、消防</w:t>
            </w:r>
            <w:r>
              <w:rPr>
                <w:sz w:val="21"/>
              </w:rPr>
              <w:t>） </w:t>
            </w:r>
            <w:r>
              <w:rPr>
                <w:spacing w:val="-2"/>
                <w:sz w:val="21"/>
              </w:rPr>
              <w:t>可采用河网水。</w:t>
            </w:r>
          </w:p>
        </w:tc>
        <w:tc>
          <w:tcPr>
            <w:tcW w:w="3385" w:type="dxa"/>
          </w:tcPr>
          <w:p>
            <w:pPr>
              <w:pStyle w:val="TableParagraph"/>
              <w:rPr>
                <w:sz w:val="20"/>
              </w:rPr>
            </w:pPr>
          </w:p>
          <w:p>
            <w:pPr>
              <w:pStyle w:val="TableParagraph"/>
              <w:rPr>
                <w:sz w:val="20"/>
              </w:rPr>
            </w:pPr>
          </w:p>
          <w:p>
            <w:pPr>
              <w:pStyle w:val="TableParagraph"/>
              <w:spacing w:before="19"/>
              <w:rPr>
                <w:sz w:val="12"/>
              </w:rPr>
            </w:pPr>
          </w:p>
          <w:p>
            <w:pPr>
              <w:pStyle w:val="TableParagraph"/>
              <w:ind w:left="737"/>
              <w:rPr>
                <w:sz w:val="21"/>
              </w:rPr>
            </w:pPr>
            <w:r>
              <w:rPr>
                <w:sz w:val="21"/>
              </w:rPr>
              <w:t>市政自来水管供水</w:t>
            </w:r>
          </w:p>
        </w:tc>
        <w:tc>
          <w:tcPr>
            <w:tcW w:w="113" w:type="dxa"/>
            <w:tcBorders>
              <w:top w:val="nil"/>
              <w:bottom w:val="nil"/>
            </w:tcBorders>
          </w:tcPr>
          <w:p>
            <w:pPr>
              <w:pStyle w:val="TableParagraph"/>
              <w:rPr>
                <w:rFonts w:ascii="Times New Roman"/>
                <w:sz w:val="20"/>
              </w:rPr>
            </w:pPr>
          </w:p>
        </w:tc>
      </w:tr>
      <w:tr>
        <w:trPr>
          <w:trHeight w:val="4080" w:hRule="atLeast"/>
        </w:trPr>
        <w:tc>
          <w:tcPr>
            <w:tcW w:w="113" w:type="dxa"/>
            <w:vMerge/>
            <w:tcBorders>
              <w:top w:val="nil"/>
            </w:tcBorders>
          </w:tcPr>
          <w:p>
            <w:pPr>
              <w:rPr>
                <w:sz w:val="2"/>
                <w:szCs w:val="2"/>
              </w:rPr>
            </w:pPr>
          </w:p>
        </w:tc>
        <w:tc>
          <w:tcPr>
            <w:tcW w:w="559" w:type="dxa"/>
            <w:vMerge/>
            <w:tcBorders>
              <w:top w:val="nil"/>
              <w:bottom w:val="single" w:sz="8" w:space="0" w:color="000000"/>
            </w:tcBorders>
          </w:tcPr>
          <w:p>
            <w:pPr>
              <w:rPr>
                <w:sz w:val="2"/>
                <w:szCs w:val="2"/>
              </w:rPr>
            </w:pPr>
          </w:p>
        </w:tc>
        <w:tc>
          <w:tcPr>
            <w:tcW w:w="768" w:type="dxa"/>
            <w:tcBorders>
              <w:bottom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1"/>
              <w:rPr>
                <w:sz w:val="21"/>
              </w:rPr>
            </w:pPr>
          </w:p>
          <w:p>
            <w:pPr>
              <w:pStyle w:val="TableParagraph"/>
              <w:ind w:left="107"/>
              <w:rPr>
                <w:sz w:val="21"/>
              </w:rPr>
            </w:pPr>
            <w:r>
              <w:rPr>
                <w:sz w:val="21"/>
              </w:rPr>
              <w:t>排水</w:t>
            </w:r>
          </w:p>
        </w:tc>
        <w:tc>
          <w:tcPr>
            <w:tcW w:w="3362" w:type="dxa"/>
            <w:gridSpan w:val="2"/>
            <w:tcBorders>
              <w:bottom w:val="single" w:sz="8" w:space="0" w:color="000000"/>
            </w:tcBorders>
          </w:tcPr>
          <w:p>
            <w:pPr>
              <w:pStyle w:val="TableParagraph"/>
              <w:spacing w:line="316" w:lineRule="exact"/>
              <w:ind w:left="107"/>
              <w:rPr>
                <w:sz w:val="21"/>
              </w:rPr>
            </w:pPr>
            <w:r>
              <w:rPr>
                <w:sz w:val="21"/>
              </w:rPr>
              <w:t>排水体制为雨污分流制。雨水就近</w:t>
            </w:r>
          </w:p>
          <w:p>
            <w:pPr>
              <w:pStyle w:val="TableParagraph"/>
              <w:spacing w:line="220" w:lineRule="auto" w:before="6"/>
              <w:ind w:left="107" w:right="93"/>
              <w:jc w:val="both"/>
              <w:rPr>
                <w:sz w:val="21"/>
              </w:rPr>
            </w:pPr>
            <w:r>
              <w:rPr>
                <w:sz w:val="21"/>
              </w:rPr>
              <w:t>排入水体，污水结合地形特点及人口分布状况，采用集中与分散相结合的方式，将东钱湖新城、俞家山新区、东钱湖镇及沿湖居民点、景点等污水采用管道形式，集中收集至宁波市江东南区污水处理厂。对不适合采用管道输送的区域采用沼气池、净化池或其他小型简单污水处理装置，就地消化。</w:t>
            </w:r>
          </w:p>
        </w:tc>
        <w:tc>
          <w:tcPr>
            <w:tcW w:w="3385" w:type="dxa"/>
            <w:tcBorders>
              <w:bottom w:val="single" w:sz="8" w:space="0" w:color="000000"/>
            </w:tcBorders>
          </w:tcPr>
          <w:p>
            <w:pPr>
              <w:pStyle w:val="TableParagraph"/>
              <w:rPr>
                <w:sz w:val="20"/>
              </w:rPr>
            </w:pPr>
          </w:p>
          <w:p>
            <w:pPr>
              <w:pStyle w:val="TableParagraph"/>
              <w:rPr>
                <w:sz w:val="20"/>
              </w:rPr>
            </w:pPr>
          </w:p>
          <w:p>
            <w:pPr>
              <w:pStyle w:val="TableParagraph"/>
              <w:spacing w:before="15"/>
              <w:rPr>
                <w:sz w:val="13"/>
              </w:rPr>
            </w:pPr>
          </w:p>
          <w:p>
            <w:pPr>
              <w:pStyle w:val="TableParagraph"/>
              <w:spacing w:line="220" w:lineRule="auto"/>
              <w:ind w:left="106" w:right="96" w:firstLine="420"/>
              <w:jc w:val="both"/>
              <w:rPr>
                <w:sz w:val="21"/>
              </w:rPr>
            </w:pPr>
            <w:r>
              <w:rPr>
                <w:sz w:val="21"/>
              </w:rPr>
              <w:t>项目雨、污水管网分流；生活污水管网已接入连心路，经化粪池处理后经市政污水管网排入宁波南区污水处理厂。</w:t>
            </w:r>
          </w:p>
        </w:tc>
        <w:tc>
          <w:tcPr>
            <w:tcW w:w="113" w:type="dxa"/>
            <w:tcBorders>
              <w:top w:val="nil"/>
            </w:tcBorders>
          </w:tcPr>
          <w:p>
            <w:pPr>
              <w:pStyle w:val="TableParagraph"/>
              <w:rPr>
                <w:rFonts w:ascii="Times New Roman"/>
                <w:sz w:val="20"/>
              </w:rPr>
            </w:pPr>
          </w:p>
        </w:tc>
      </w:tr>
    </w:tbl>
    <w:p>
      <w:pPr>
        <w:spacing w:after="0"/>
        <w:rPr>
          <w:rFonts w:ascii="Times New Roman"/>
          <w:sz w:val="20"/>
        </w:rPr>
        <w:sectPr>
          <w:pgSz w:w="11910" w:h="16840"/>
          <w:pgMar w:header="877" w:footer="1146" w:top="1420" w:bottom="1340" w:left="1200" w:right="1340"/>
        </w:sectPr>
      </w:pPr>
    </w:p>
    <w:p>
      <w:pPr>
        <w:pStyle w:val="BodyText"/>
        <w:spacing w:before="23"/>
        <w:ind w:left="600"/>
      </w:pPr>
      <w:r>
        <w:rPr/>
        <w:t>实际工程量及工程建设变化情况，说明工程变化原因：</w:t>
      </w:r>
    </w:p>
    <w:p>
      <w:pPr>
        <w:pStyle w:val="BodyText"/>
        <w:spacing w:before="23"/>
        <w:ind w:left="600"/>
      </w:pPr>
      <w:r>
        <w:rPr>
          <w:rFonts w:ascii="Times New Roman" w:eastAsia="Times New Roman"/>
        </w:rPr>
        <w:t>1</w:t>
      </w:r>
      <w:r>
        <w:rPr/>
        <w:t>）实际工程量</w:t>
      </w:r>
    </w:p>
    <w:p>
      <w:pPr>
        <w:pStyle w:val="BodyText"/>
        <w:spacing w:line="252" w:lineRule="auto" w:before="23"/>
        <w:ind w:left="600" w:right="684"/>
      </w:pPr>
      <w:r>
        <w:rPr/>
        <w:t>根据实际建设情况最终核实的主要经济技术指标，项目的实际建筑面积见表</w:t>
      </w:r>
      <w:r>
        <w:rPr>
          <w:rFonts w:ascii="Times New Roman" w:eastAsia="Times New Roman"/>
        </w:rPr>
        <w:t>4-2</w:t>
      </w:r>
      <w:r>
        <w:rPr/>
        <w:t>，从中可以看出工程量的变化情况。</w:t>
      </w:r>
    </w:p>
    <w:p>
      <w:pPr>
        <w:spacing w:line="369" w:lineRule="exact" w:before="0"/>
        <w:ind w:left="3039" w:right="0" w:firstLine="0"/>
        <w:jc w:val="left"/>
        <w:rPr>
          <w:sz w:val="21"/>
        </w:rPr>
      </w:pPr>
      <w:r>
        <w:rPr/>
        <w:pict>
          <v:shape style="position:absolute;margin-left:90.024002pt;margin-top:15.714005pt;width:404.4pt;height:177.65pt;mso-position-horizontal-relative:page;mso-position-vertical-relative:paragraph;z-index:152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9"/>
                    <w:gridCol w:w="2020"/>
                    <w:gridCol w:w="2020"/>
                    <w:gridCol w:w="2020"/>
                  </w:tblGrid>
                  <w:tr>
                    <w:trPr>
                      <w:trHeight w:val="311" w:hRule="atLeast"/>
                    </w:trPr>
                    <w:tc>
                      <w:tcPr>
                        <w:tcW w:w="2009" w:type="dxa"/>
                      </w:tcPr>
                      <w:p>
                        <w:pPr>
                          <w:pStyle w:val="TableParagraph"/>
                          <w:spacing w:line="292" w:lineRule="exact"/>
                          <w:ind w:left="355" w:right="344"/>
                          <w:jc w:val="center"/>
                          <w:rPr>
                            <w:sz w:val="21"/>
                          </w:rPr>
                        </w:pPr>
                        <w:r>
                          <w:rPr>
                            <w:sz w:val="21"/>
                          </w:rPr>
                          <w:t>内容</w:t>
                        </w:r>
                      </w:p>
                    </w:tc>
                    <w:tc>
                      <w:tcPr>
                        <w:tcW w:w="6060" w:type="dxa"/>
                        <w:gridSpan w:val="3"/>
                      </w:tcPr>
                      <w:p>
                        <w:pPr>
                          <w:pStyle w:val="TableParagraph"/>
                          <w:spacing w:line="292" w:lineRule="exact"/>
                          <w:ind w:left="2524" w:right="2511"/>
                          <w:jc w:val="center"/>
                          <w:rPr>
                            <w:sz w:val="21"/>
                          </w:rPr>
                        </w:pPr>
                        <w:r>
                          <w:rPr>
                            <w:sz w:val="21"/>
                          </w:rPr>
                          <w:t>指标</w:t>
                        </w:r>
                      </w:p>
                    </w:tc>
                  </w:tr>
                  <w:tr>
                    <w:trPr>
                      <w:trHeight w:val="311" w:hRule="atLeast"/>
                    </w:trPr>
                    <w:tc>
                      <w:tcPr>
                        <w:tcW w:w="2009" w:type="dxa"/>
                      </w:tcPr>
                      <w:p>
                        <w:pPr>
                          <w:pStyle w:val="TableParagraph"/>
                          <w:spacing w:line="292" w:lineRule="exact"/>
                          <w:ind w:left="353" w:right="344"/>
                          <w:jc w:val="center"/>
                          <w:rPr>
                            <w:sz w:val="21"/>
                          </w:rPr>
                        </w:pPr>
                        <w:r>
                          <w:rPr>
                            <w:sz w:val="21"/>
                          </w:rPr>
                          <w:t>用地面积</w:t>
                        </w:r>
                      </w:p>
                    </w:tc>
                    <w:tc>
                      <w:tcPr>
                        <w:tcW w:w="6060" w:type="dxa"/>
                        <w:gridSpan w:val="3"/>
                      </w:tcPr>
                      <w:p>
                        <w:pPr>
                          <w:pStyle w:val="TableParagraph"/>
                          <w:spacing w:before="34"/>
                          <w:ind w:left="2524" w:right="2518"/>
                          <w:jc w:val="center"/>
                          <w:rPr>
                            <w:rFonts w:ascii="Times New Roman"/>
                            <w:sz w:val="21"/>
                          </w:rPr>
                        </w:pPr>
                        <w:r>
                          <w:rPr>
                            <w:rFonts w:ascii="Times New Roman"/>
                            <w:sz w:val="21"/>
                          </w:rPr>
                          <w:t>8050.21 m</w:t>
                        </w:r>
                        <w:r>
                          <w:rPr>
                            <w:rFonts w:ascii="Times New Roman"/>
                            <w:sz w:val="21"/>
                            <w:vertAlign w:val="superscript"/>
                          </w:rPr>
                          <w:t>2</w:t>
                        </w:r>
                      </w:p>
                    </w:tc>
                  </w:tr>
                  <w:tr>
                    <w:trPr>
                      <w:trHeight w:val="314" w:hRule="atLeast"/>
                    </w:trPr>
                    <w:tc>
                      <w:tcPr>
                        <w:tcW w:w="2009" w:type="dxa"/>
                        <w:vMerge w:val="restart"/>
                      </w:tcPr>
                      <w:p>
                        <w:pPr>
                          <w:pStyle w:val="TableParagraph"/>
                          <w:spacing w:before="85"/>
                          <w:ind w:left="582"/>
                          <w:rPr>
                            <w:sz w:val="21"/>
                          </w:rPr>
                        </w:pPr>
                        <w:r>
                          <w:rPr>
                            <w:sz w:val="21"/>
                          </w:rPr>
                          <w:t>建筑面积</w:t>
                        </w:r>
                      </w:p>
                    </w:tc>
                    <w:tc>
                      <w:tcPr>
                        <w:tcW w:w="2020" w:type="dxa"/>
                        <w:vMerge w:val="restart"/>
                      </w:tcPr>
                      <w:p>
                        <w:pPr>
                          <w:pStyle w:val="TableParagraph"/>
                          <w:spacing w:before="197"/>
                          <w:ind w:left="525"/>
                          <w:rPr>
                            <w:rFonts w:ascii="Times New Roman"/>
                            <w:sz w:val="21"/>
                          </w:rPr>
                        </w:pPr>
                        <w:r>
                          <w:rPr>
                            <w:rFonts w:ascii="Times New Roman"/>
                            <w:sz w:val="21"/>
                          </w:rPr>
                          <w:t>6268.05 m</w:t>
                        </w:r>
                        <w:r>
                          <w:rPr>
                            <w:rFonts w:ascii="Times New Roman"/>
                            <w:sz w:val="21"/>
                            <w:vertAlign w:val="superscript"/>
                          </w:rPr>
                          <w:t>2</w:t>
                        </w:r>
                      </w:p>
                    </w:tc>
                    <w:tc>
                      <w:tcPr>
                        <w:tcW w:w="2020" w:type="dxa"/>
                      </w:tcPr>
                      <w:p>
                        <w:pPr>
                          <w:pStyle w:val="TableParagraph"/>
                          <w:spacing w:line="294" w:lineRule="exact"/>
                          <w:ind w:left="781" w:right="768"/>
                          <w:jc w:val="center"/>
                          <w:rPr>
                            <w:sz w:val="21"/>
                          </w:rPr>
                        </w:pPr>
                        <w:r>
                          <w:rPr>
                            <w:sz w:val="21"/>
                          </w:rPr>
                          <w:t>地上</w:t>
                        </w:r>
                      </w:p>
                    </w:tc>
                    <w:tc>
                      <w:tcPr>
                        <w:tcW w:w="2020" w:type="dxa"/>
                      </w:tcPr>
                      <w:p>
                        <w:pPr>
                          <w:pStyle w:val="TableParagraph"/>
                          <w:spacing w:before="36"/>
                          <w:ind w:right="514"/>
                          <w:jc w:val="right"/>
                          <w:rPr>
                            <w:rFonts w:ascii="Times New Roman"/>
                            <w:sz w:val="21"/>
                          </w:rPr>
                        </w:pPr>
                        <w:r>
                          <w:rPr>
                            <w:rFonts w:ascii="Times New Roman"/>
                            <w:sz w:val="21"/>
                          </w:rPr>
                          <w:t>4228.93 m</w:t>
                        </w:r>
                        <w:r>
                          <w:rPr>
                            <w:rFonts w:ascii="Times New Roman"/>
                            <w:sz w:val="21"/>
                            <w:vertAlign w:val="superscript"/>
                          </w:rPr>
                          <w:t>2</w:t>
                        </w:r>
                      </w:p>
                    </w:tc>
                  </w:tr>
                  <w:tr>
                    <w:trPr>
                      <w:trHeight w:val="312" w:hRule="atLeast"/>
                    </w:trPr>
                    <w:tc>
                      <w:tcPr>
                        <w:tcW w:w="2009" w:type="dxa"/>
                        <w:vMerge/>
                        <w:tcBorders>
                          <w:top w:val="nil"/>
                        </w:tcBorders>
                      </w:tcPr>
                      <w:p>
                        <w:pPr>
                          <w:rPr>
                            <w:sz w:val="2"/>
                            <w:szCs w:val="2"/>
                          </w:rPr>
                        </w:pPr>
                      </w:p>
                    </w:tc>
                    <w:tc>
                      <w:tcPr>
                        <w:tcW w:w="2020" w:type="dxa"/>
                        <w:vMerge/>
                        <w:tcBorders>
                          <w:top w:val="nil"/>
                        </w:tcBorders>
                      </w:tcPr>
                      <w:p>
                        <w:pPr>
                          <w:rPr>
                            <w:sz w:val="2"/>
                            <w:szCs w:val="2"/>
                          </w:rPr>
                        </w:pPr>
                      </w:p>
                    </w:tc>
                    <w:tc>
                      <w:tcPr>
                        <w:tcW w:w="2020" w:type="dxa"/>
                      </w:tcPr>
                      <w:p>
                        <w:pPr>
                          <w:pStyle w:val="TableParagraph"/>
                          <w:spacing w:line="292" w:lineRule="exact"/>
                          <w:ind w:left="781" w:right="768"/>
                          <w:jc w:val="center"/>
                          <w:rPr>
                            <w:sz w:val="21"/>
                          </w:rPr>
                        </w:pPr>
                        <w:r>
                          <w:rPr>
                            <w:sz w:val="21"/>
                          </w:rPr>
                          <w:t>地下</w:t>
                        </w:r>
                      </w:p>
                    </w:tc>
                    <w:tc>
                      <w:tcPr>
                        <w:tcW w:w="2020" w:type="dxa"/>
                      </w:tcPr>
                      <w:p>
                        <w:pPr>
                          <w:pStyle w:val="TableParagraph"/>
                          <w:spacing w:before="34"/>
                          <w:ind w:right="514"/>
                          <w:jc w:val="right"/>
                          <w:rPr>
                            <w:rFonts w:ascii="Times New Roman"/>
                            <w:sz w:val="21"/>
                          </w:rPr>
                        </w:pPr>
                        <w:r>
                          <w:rPr>
                            <w:rFonts w:ascii="Times New Roman"/>
                            <w:sz w:val="21"/>
                          </w:rPr>
                          <w:t>2039.12 m</w:t>
                        </w:r>
                        <w:r>
                          <w:rPr>
                            <w:rFonts w:ascii="Times New Roman"/>
                            <w:sz w:val="21"/>
                            <w:vertAlign w:val="superscript"/>
                          </w:rPr>
                          <w:t>2</w:t>
                        </w:r>
                      </w:p>
                    </w:tc>
                  </w:tr>
                  <w:tr>
                    <w:trPr>
                      <w:trHeight w:val="311" w:hRule="atLeast"/>
                    </w:trPr>
                    <w:tc>
                      <w:tcPr>
                        <w:tcW w:w="2009" w:type="dxa"/>
                      </w:tcPr>
                      <w:p>
                        <w:pPr>
                          <w:pStyle w:val="TableParagraph"/>
                          <w:spacing w:line="292" w:lineRule="exact"/>
                          <w:ind w:left="353" w:right="344"/>
                          <w:jc w:val="center"/>
                          <w:rPr>
                            <w:sz w:val="21"/>
                          </w:rPr>
                        </w:pPr>
                        <w:r>
                          <w:rPr>
                            <w:sz w:val="21"/>
                          </w:rPr>
                          <w:t>计容面积</w:t>
                        </w:r>
                      </w:p>
                    </w:tc>
                    <w:tc>
                      <w:tcPr>
                        <w:tcW w:w="6060" w:type="dxa"/>
                        <w:gridSpan w:val="3"/>
                      </w:tcPr>
                      <w:p>
                        <w:pPr>
                          <w:pStyle w:val="TableParagraph"/>
                          <w:spacing w:before="34"/>
                          <w:ind w:left="2524" w:right="2518"/>
                          <w:jc w:val="center"/>
                          <w:rPr>
                            <w:rFonts w:ascii="Times New Roman"/>
                            <w:sz w:val="21"/>
                          </w:rPr>
                        </w:pPr>
                        <w:r>
                          <w:rPr>
                            <w:rFonts w:ascii="Times New Roman"/>
                            <w:sz w:val="21"/>
                          </w:rPr>
                          <w:t>3483.95 m</w:t>
                        </w:r>
                        <w:r>
                          <w:rPr>
                            <w:rFonts w:ascii="Times New Roman"/>
                            <w:sz w:val="21"/>
                            <w:vertAlign w:val="superscript"/>
                          </w:rPr>
                          <w:t>2</w:t>
                        </w:r>
                      </w:p>
                    </w:tc>
                  </w:tr>
                  <w:tr>
                    <w:trPr>
                      <w:trHeight w:val="311" w:hRule="atLeast"/>
                    </w:trPr>
                    <w:tc>
                      <w:tcPr>
                        <w:tcW w:w="2009" w:type="dxa"/>
                      </w:tcPr>
                      <w:p>
                        <w:pPr>
                          <w:pStyle w:val="TableParagraph"/>
                          <w:spacing w:line="292" w:lineRule="exact"/>
                          <w:ind w:left="353" w:right="344"/>
                          <w:jc w:val="center"/>
                          <w:rPr>
                            <w:sz w:val="21"/>
                          </w:rPr>
                        </w:pPr>
                        <w:r>
                          <w:rPr>
                            <w:sz w:val="21"/>
                          </w:rPr>
                          <w:t>占地面积</w:t>
                        </w:r>
                      </w:p>
                    </w:tc>
                    <w:tc>
                      <w:tcPr>
                        <w:tcW w:w="6060" w:type="dxa"/>
                        <w:gridSpan w:val="3"/>
                      </w:tcPr>
                      <w:p>
                        <w:pPr>
                          <w:pStyle w:val="TableParagraph"/>
                          <w:spacing w:before="34"/>
                          <w:ind w:left="2524" w:right="2518"/>
                          <w:jc w:val="center"/>
                          <w:rPr>
                            <w:rFonts w:ascii="Times New Roman"/>
                            <w:sz w:val="21"/>
                          </w:rPr>
                        </w:pPr>
                        <w:r>
                          <w:rPr>
                            <w:rFonts w:ascii="Times New Roman"/>
                            <w:sz w:val="21"/>
                          </w:rPr>
                          <w:t>1208.19 m</w:t>
                        </w:r>
                        <w:r>
                          <w:rPr>
                            <w:rFonts w:ascii="Times New Roman"/>
                            <w:sz w:val="21"/>
                            <w:vertAlign w:val="superscript"/>
                          </w:rPr>
                          <w:t>2</w:t>
                        </w:r>
                      </w:p>
                    </w:tc>
                  </w:tr>
                  <w:tr>
                    <w:trPr>
                      <w:trHeight w:val="311" w:hRule="atLeast"/>
                    </w:trPr>
                    <w:tc>
                      <w:tcPr>
                        <w:tcW w:w="2009" w:type="dxa"/>
                      </w:tcPr>
                      <w:p>
                        <w:pPr>
                          <w:pStyle w:val="TableParagraph"/>
                          <w:spacing w:line="292" w:lineRule="exact"/>
                          <w:ind w:left="355" w:right="344"/>
                          <w:jc w:val="center"/>
                          <w:rPr>
                            <w:sz w:val="21"/>
                          </w:rPr>
                        </w:pPr>
                        <w:r>
                          <w:rPr>
                            <w:sz w:val="21"/>
                          </w:rPr>
                          <w:t>容积率</w:t>
                        </w:r>
                      </w:p>
                    </w:tc>
                    <w:tc>
                      <w:tcPr>
                        <w:tcW w:w="6060" w:type="dxa"/>
                        <w:gridSpan w:val="3"/>
                      </w:tcPr>
                      <w:p>
                        <w:pPr>
                          <w:pStyle w:val="TableParagraph"/>
                          <w:spacing w:before="34"/>
                          <w:ind w:left="2524" w:right="2511"/>
                          <w:jc w:val="center"/>
                          <w:rPr>
                            <w:rFonts w:ascii="Times New Roman"/>
                            <w:sz w:val="21"/>
                          </w:rPr>
                        </w:pPr>
                        <w:r>
                          <w:rPr>
                            <w:rFonts w:ascii="Times New Roman"/>
                            <w:sz w:val="21"/>
                          </w:rPr>
                          <w:t>0.43</w:t>
                        </w:r>
                      </w:p>
                    </w:tc>
                  </w:tr>
                  <w:tr>
                    <w:trPr>
                      <w:trHeight w:val="311" w:hRule="atLeast"/>
                    </w:trPr>
                    <w:tc>
                      <w:tcPr>
                        <w:tcW w:w="2009" w:type="dxa"/>
                      </w:tcPr>
                      <w:p>
                        <w:pPr>
                          <w:pStyle w:val="TableParagraph"/>
                          <w:spacing w:line="292" w:lineRule="exact"/>
                          <w:ind w:left="353" w:right="344"/>
                          <w:jc w:val="center"/>
                          <w:rPr>
                            <w:sz w:val="21"/>
                          </w:rPr>
                        </w:pPr>
                        <w:r>
                          <w:rPr>
                            <w:sz w:val="21"/>
                          </w:rPr>
                          <w:t>建筑密度</w:t>
                        </w:r>
                      </w:p>
                    </w:tc>
                    <w:tc>
                      <w:tcPr>
                        <w:tcW w:w="6060" w:type="dxa"/>
                        <w:gridSpan w:val="3"/>
                      </w:tcPr>
                      <w:p>
                        <w:pPr>
                          <w:pStyle w:val="TableParagraph"/>
                          <w:spacing w:before="34"/>
                          <w:ind w:left="2524" w:right="2513"/>
                          <w:jc w:val="center"/>
                          <w:rPr>
                            <w:rFonts w:ascii="Times New Roman"/>
                            <w:sz w:val="21"/>
                          </w:rPr>
                        </w:pPr>
                        <w:r>
                          <w:rPr>
                            <w:rFonts w:ascii="Times New Roman"/>
                            <w:sz w:val="21"/>
                          </w:rPr>
                          <w:t>15%</w:t>
                        </w:r>
                      </w:p>
                    </w:tc>
                  </w:tr>
                  <w:tr>
                    <w:trPr>
                      <w:trHeight w:val="314" w:hRule="atLeast"/>
                    </w:trPr>
                    <w:tc>
                      <w:tcPr>
                        <w:tcW w:w="2009" w:type="dxa"/>
                      </w:tcPr>
                      <w:p>
                        <w:pPr>
                          <w:pStyle w:val="TableParagraph"/>
                          <w:spacing w:line="294" w:lineRule="exact"/>
                          <w:ind w:left="353" w:right="344"/>
                          <w:jc w:val="center"/>
                          <w:rPr>
                            <w:sz w:val="21"/>
                          </w:rPr>
                        </w:pPr>
                        <w:r>
                          <w:rPr>
                            <w:sz w:val="21"/>
                          </w:rPr>
                          <w:t>建筑高度</w:t>
                        </w:r>
                      </w:p>
                    </w:tc>
                    <w:tc>
                      <w:tcPr>
                        <w:tcW w:w="6060" w:type="dxa"/>
                        <w:gridSpan w:val="3"/>
                      </w:tcPr>
                      <w:p>
                        <w:pPr>
                          <w:pStyle w:val="TableParagraph"/>
                          <w:spacing w:before="36"/>
                          <w:ind w:left="2524" w:right="2510"/>
                          <w:jc w:val="center"/>
                          <w:rPr>
                            <w:rFonts w:ascii="Times New Roman"/>
                            <w:sz w:val="21"/>
                          </w:rPr>
                        </w:pPr>
                        <w:r>
                          <w:rPr>
                            <w:rFonts w:ascii="Times New Roman"/>
                            <w:sz w:val="21"/>
                          </w:rPr>
                          <w:t>24.822 m</w:t>
                        </w:r>
                      </w:p>
                    </w:tc>
                  </w:tr>
                  <w:tr>
                    <w:trPr>
                      <w:trHeight w:val="311" w:hRule="atLeast"/>
                    </w:trPr>
                    <w:tc>
                      <w:tcPr>
                        <w:tcW w:w="2009" w:type="dxa"/>
                      </w:tcPr>
                      <w:p>
                        <w:pPr>
                          <w:pStyle w:val="TableParagraph"/>
                          <w:spacing w:line="292" w:lineRule="exact"/>
                          <w:ind w:left="355" w:right="344"/>
                          <w:jc w:val="center"/>
                          <w:rPr>
                            <w:sz w:val="21"/>
                          </w:rPr>
                        </w:pPr>
                        <w:r>
                          <w:rPr>
                            <w:sz w:val="21"/>
                          </w:rPr>
                          <w:t>绿地率</w:t>
                        </w:r>
                      </w:p>
                    </w:tc>
                    <w:tc>
                      <w:tcPr>
                        <w:tcW w:w="6060" w:type="dxa"/>
                        <w:gridSpan w:val="3"/>
                      </w:tcPr>
                      <w:p>
                        <w:pPr>
                          <w:pStyle w:val="TableParagraph"/>
                          <w:spacing w:before="34"/>
                          <w:ind w:left="2524" w:right="2513"/>
                          <w:jc w:val="center"/>
                          <w:rPr>
                            <w:rFonts w:ascii="Times New Roman"/>
                            <w:sz w:val="21"/>
                          </w:rPr>
                        </w:pPr>
                        <w:r>
                          <w:rPr>
                            <w:rFonts w:ascii="Times New Roman"/>
                            <w:sz w:val="21"/>
                          </w:rPr>
                          <w:t>35%</w:t>
                        </w:r>
                      </w:p>
                    </w:tc>
                  </w:tr>
                  <w:tr>
                    <w:trPr>
                      <w:trHeight w:val="311" w:hRule="atLeast"/>
                    </w:trPr>
                    <w:tc>
                      <w:tcPr>
                        <w:tcW w:w="2009" w:type="dxa"/>
                      </w:tcPr>
                      <w:p>
                        <w:pPr>
                          <w:pStyle w:val="TableParagraph"/>
                          <w:spacing w:line="292" w:lineRule="exact"/>
                          <w:ind w:left="355" w:right="344"/>
                          <w:jc w:val="center"/>
                          <w:rPr>
                            <w:sz w:val="21"/>
                          </w:rPr>
                        </w:pPr>
                        <w:r>
                          <w:rPr>
                            <w:sz w:val="21"/>
                          </w:rPr>
                          <w:t>地上自行车库</w:t>
                        </w:r>
                      </w:p>
                    </w:tc>
                    <w:tc>
                      <w:tcPr>
                        <w:tcW w:w="6060" w:type="dxa"/>
                        <w:gridSpan w:val="3"/>
                      </w:tcPr>
                      <w:p>
                        <w:pPr>
                          <w:pStyle w:val="TableParagraph"/>
                          <w:spacing w:before="34"/>
                          <w:ind w:left="2597"/>
                          <w:rPr>
                            <w:rFonts w:ascii="Times New Roman"/>
                            <w:sz w:val="21"/>
                          </w:rPr>
                        </w:pPr>
                        <w:r>
                          <w:rPr>
                            <w:rFonts w:ascii="Times New Roman"/>
                            <w:sz w:val="21"/>
                          </w:rPr>
                          <w:t>744.98 m</w:t>
                        </w:r>
                        <w:r>
                          <w:rPr>
                            <w:rFonts w:ascii="Times New Roman"/>
                            <w:sz w:val="21"/>
                            <w:vertAlign w:val="superscript"/>
                          </w:rPr>
                          <w:t>2</w:t>
                        </w:r>
                      </w:p>
                    </w:tc>
                  </w:tr>
                </w:tbl>
                <w:p>
                  <w:pPr>
                    <w:pStyle w:val="BodyText"/>
                  </w:pPr>
                </w:p>
              </w:txbxContent>
            </v:textbox>
            <w10:wrap type="none"/>
          </v:shape>
        </w:pict>
      </w:r>
      <w:r>
        <w:rPr>
          <w:sz w:val="21"/>
        </w:rPr>
        <w:t>表 </w:t>
      </w:r>
      <w:r>
        <w:rPr>
          <w:rFonts w:ascii="Arial" w:eastAsia="Arial"/>
          <w:b/>
          <w:sz w:val="21"/>
        </w:rPr>
        <w:t>4-2 </w:t>
      </w:r>
      <w:r>
        <w:rPr>
          <w:sz w:val="21"/>
        </w:rPr>
        <w:t>项目实际主要经济技术指标</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3"/>
        <w:rPr>
          <w:sz w:val="35"/>
        </w:rPr>
      </w:pPr>
    </w:p>
    <w:p>
      <w:pPr>
        <w:pStyle w:val="BodyText"/>
        <w:spacing w:line="252" w:lineRule="auto"/>
        <w:ind w:left="600" w:right="687"/>
      </w:pPr>
      <w:r>
        <w:rPr/>
        <w:t>根据上表可知，项目总建筑面积略有减少，地下建筑面均略有增加，项目总用地面积不变。</w:t>
      </w:r>
    </w:p>
    <w:p>
      <w:pPr>
        <w:pStyle w:val="BodyText"/>
        <w:spacing w:before="2"/>
        <w:ind w:left="600"/>
      </w:pPr>
      <w:r>
        <w:rPr>
          <w:rFonts w:ascii="Times New Roman" w:eastAsia="Times New Roman"/>
        </w:rPr>
        <w:t>2</w:t>
      </w:r>
      <w:r>
        <w:rPr/>
        <w:t>）环境影响变化</w:t>
      </w:r>
    </w:p>
    <w:p>
      <w:pPr>
        <w:pStyle w:val="BodyText"/>
        <w:spacing w:line="252" w:lineRule="auto" w:before="23"/>
        <w:ind w:left="600" w:right="679"/>
        <w:jc w:val="both"/>
      </w:pPr>
      <w:r>
        <w:rPr/>
        <w:t>实际建设情况的主要经济技术指标与环评及批复阶段相比有所变化，项目总建筑面积略有减少，地下建筑面均略有增加。各建筑位置及主体建设情况与环评时基本一致。总体来说，项目的变化从环境影响的角度相比原环评基本一致。</w:t>
      </w:r>
    </w:p>
    <w:p>
      <w:pPr>
        <w:pStyle w:val="BodyText"/>
        <w:spacing w:before="11"/>
        <w:ind w:left="600"/>
      </w:pPr>
      <w:r>
        <w:rPr/>
        <w:t>生产工艺流程（附流程图）</w:t>
      </w:r>
    </w:p>
    <w:p>
      <w:pPr>
        <w:pStyle w:val="BodyText"/>
        <w:spacing w:before="23"/>
        <w:ind w:left="600"/>
      </w:pPr>
      <w:r>
        <w:rPr>
          <w:rFonts w:ascii="Times New Roman" w:eastAsia="Times New Roman"/>
        </w:rPr>
        <w:t>1</w:t>
      </w:r>
      <w:r>
        <w:rPr/>
        <w:t>）施工期</w:t>
      </w:r>
    </w:p>
    <w:p>
      <w:pPr>
        <w:pStyle w:val="BodyText"/>
        <w:spacing w:before="23"/>
        <w:ind w:left="600"/>
      </w:pPr>
      <w:r>
        <w:rPr/>
        <w:pict>
          <v:shape style="position:absolute;margin-left:365.350006pt;margin-top:34.349998pt;width:39.15pt;height:13.05pt;mso-position-horizontal-relative:page;mso-position-vertical-relative:paragraph;z-index:1504" type="#_x0000_t202" filled="false" stroked="true" strokeweight=".65pt" strokecolor="#000000">
            <v:textbox inset="0,0,0,0">
              <w:txbxContent>
                <w:p>
                  <w:pPr>
                    <w:spacing w:line="248" w:lineRule="exact" w:before="0"/>
                    <w:ind w:left="209" w:right="0" w:firstLine="0"/>
                    <w:jc w:val="left"/>
                    <w:rPr>
                      <w:sz w:val="18"/>
                    </w:rPr>
                  </w:pPr>
                  <w:r>
                    <w:rPr>
                      <w:sz w:val="18"/>
                    </w:rPr>
                    <w:t>废水</w:t>
                  </w:r>
                </w:p>
              </w:txbxContent>
            </v:textbox>
            <v:stroke dashstyle="solid"/>
            <w10:wrap type="none"/>
          </v:shape>
        </w:pict>
      </w:r>
      <w:r>
        <w:rPr/>
        <w:t>施工流程图如下图所示：</w:t>
      </w:r>
    </w:p>
    <w:p>
      <w:pPr>
        <w:pStyle w:val="BodyText"/>
        <w:spacing w:before="12"/>
        <w:rPr>
          <w:sz w:val="9"/>
        </w:rPr>
      </w:pPr>
    </w:p>
    <w:p>
      <w:pPr>
        <w:spacing w:after="0"/>
        <w:rPr>
          <w:sz w:val="9"/>
        </w:rPr>
        <w:sectPr>
          <w:pgSz w:w="11910" w:h="16840"/>
          <w:pgMar w:header="877" w:footer="1146" w:top="1420" w:bottom="1340" w:left="1200" w:right="1340"/>
        </w:sectPr>
      </w:pPr>
    </w:p>
    <w:p>
      <w:pPr>
        <w:spacing w:line="376" w:lineRule="exact" w:before="0"/>
        <w:ind w:left="629" w:right="0" w:firstLine="0"/>
        <w:jc w:val="left"/>
        <w:rPr>
          <w:sz w:val="18"/>
        </w:rPr>
      </w:pPr>
      <w:r>
        <w:rPr>
          <w:rFonts w:ascii="Times New Roman" w:eastAsia="Times New Roman"/>
          <w:sz w:val="18"/>
          <w:u w:val="single"/>
        </w:rPr>
        <w:t>  </w:t>
      </w:r>
      <w:r>
        <w:rPr>
          <w:sz w:val="18"/>
          <w:u w:val="single"/>
        </w:rPr>
        <w:t>生活垃圾、生活废水</w:t>
      </w:r>
    </w:p>
    <w:p>
      <w:pPr>
        <w:spacing w:line="376" w:lineRule="exact" w:before="0"/>
        <w:ind w:left="622" w:right="0" w:firstLine="0"/>
        <w:jc w:val="left"/>
        <w:rPr>
          <w:sz w:val="18"/>
        </w:rPr>
      </w:pPr>
      <w:r>
        <w:rPr/>
        <w:br w:type="column"/>
      </w:r>
      <w:r>
        <w:rPr>
          <w:sz w:val="18"/>
          <w:u w:val="single"/>
        </w:rPr>
        <w:t>建筑垃圾</w:t>
      </w:r>
    </w:p>
    <w:p>
      <w:pPr>
        <w:spacing w:line="376" w:lineRule="exact" w:before="0"/>
        <w:ind w:left="628" w:right="0" w:firstLine="0"/>
        <w:jc w:val="left"/>
        <w:rPr>
          <w:sz w:val="18"/>
        </w:rPr>
      </w:pPr>
      <w:r>
        <w:rPr/>
        <w:br w:type="column"/>
      </w:r>
      <w:r>
        <w:rPr>
          <w:rFonts w:ascii="Times New Roman" w:eastAsia="Times New Roman"/>
          <w:sz w:val="18"/>
          <w:u w:val="single"/>
        </w:rPr>
        <w:t>  </w:t>
      </w:r>
      <w:r>
        <w:rPr>
          <w:sz w:val="18"/>
          <w:u w:val="single"/>
        </w:rPr>
        <w:t>噪声</w:t>
      </w:r>
    </w:p>
    <w:p>
      <w:pPr>
        <w:spacing w:after="0" w:line="376" w:lineRule="exact"/>
        <w:jc w:val="left"/>
        <w:rPr>
          <w:sz w:val="18"/>
        </w:rPr>
        <w:sectPr>
          <w:type w:val="continuous"/>
          <w:pgSz w:w="11910" w:h="16840"/>
          <w:pgMar w:top="1580" w:bottom="280" w:left="1200" w:right="1340"/>
          <w:cols w:num="3" w:equalWidth="0">
            <w:col w:w="2341" w:space="40"/>
            <w:col w:w="1383" w:space="280"/>
            <w:col w:w="5326"/>
          </w:cols>
        </w:sectPr>
      </w:pPr>
    </w:p>
    <w:p>
      <w:pPr>
        <w:pStyle w:val="BodyText"/>
        <w:spacing w:before="9"/>
        <w:rPr>
          <w:sz w:val="13"/>
        </w:rPr>
      </w:pPr>
      <w:r>
        <w:rPr/>
        <w:pict>
          <v:group style="position:absolute;margin-left:84.384003pt;margin-top:71.999985pt;width:415.4pt;height:685.6pt;mso-position-horizontal-relative:page;mso-position-vertical-relative:page;z-index:-90952" coordorigin="1688,1440" coordsize="8308,13712">
            <v:line style="position:absolute" from="1697,1445" to="9986,1445" stroked="true" strokeweight=".48pt" strokecolor="#000000">
              <v:stroke dashstyle="solid"/>
            </v:line>
            <v:line style="position:absolute" from="1697,10312" to="9986,10312" stroked="true" strokeweight=".48004pt" strokecolor="#000000">
              <v:stroke dashstyle="solid"/>
            </v:line>
            <v:line style="position:absolute" from="1692,1440" to="1692,15142" stroked="true" strokeweight=".48pt" strokecolor="#000000">
              <v:stroke dashstyle="solid"/>
            </v:line>
            <v:rect style="position:absolute;left:1687;top:15141;width:10;height:10" filled="true" fillcolor="#000000" stroked="false">
              <v:fill type="solid"/>
            </v:rect>
            <v:line style="position:absolute" from="1697,15146" to="9986,15146" stroked="true" strokeweight=".47998pt" strokecolor="#000000">
              <v:stroke dashstyle="solid"/>
            </v:line>
            <v:line style="position:absolute" from="9991,1440" to="9991,15142" stroked="true" strokeweight=".48001pt" strokecolor="#000000">
              <v:stroke dashstyle="solid"/>
            </v:line>
            <v:rect style="position:absolute;left:9986;top:15141;width:10;height:10" filled="true" fillcolor="#000000" stroked="false">
              <v:fill type="solid"/>
            </v:rect>
            <v:line style="position:absolute" from="9264,13089" to="9264,13741" stroked="true" strokeweight=".65pt" strokecolor="#000000">
              <v:stroke dashstyle="solid"/>
            </v:line>
            <v:shape style="position:absolute;left:9218;top:13545;width:91;height:196" coordorigin="9218,13545" coordsize="91,196" path="m9218,13545l9264,13741,9297,13598,9264,13598,9218,13545xm9309,13545l9264,13598,9297,13598,9309,13545xe" filled="true" fillcolor="#000000" stroked="false">
              <v:path arrowok="t"/>
              <v:fill type="solid"/>
            </v:shape>
            <v:shape style="position:absolute;left:9218;top:13545;width:91;height:196" coordorigin="9218,13545" coordsize="91,196" path="m9264,13741l9309,13545,9264,13598,9218,13545,9264,13741xe" filled="false" stroked="true" strokeweight=".35pt" strokecolor="#000000">
              <v:path arrowok="t"/>
              <v:stroke dashstyle="solid"/>
            </v:shape>
            <v:line style="position:absolute" from="8220,14002" to="8742,14002" stroked="true" strokeweight=".65pt" strokecolor="#000000">
              <v:stroke dashstyle="solid"/>
            </v:line>
            <v:shape style="position:absolute;left:8220;top:13956;width:196;height:91" coordorigin="8220,13956" coordsize="196,91" path="m8416,13956l8220,14002,8416,14047,8364,14002,8416,13956xe" filled="true" fillcolor="#000000" stroked="false">
              <v:path arrowok="t"/>
              <v:fill type="solid"/>
            </v:shape>
            <v:shape style="position:absolute;left:8220;top:13956;width:196;height:91" coordorigin="8220,13956" coordsize="196,91" path="m8220,14002l8416,14047,8364,14002,8416,13956,8220,14002xe" filled="false" stroked="true" strokeweight=".35pt" strokecolor="#000000">
              <v:path arrowok="t"/>
              <v:stroke dashstyle="solid"/>
            </v:shape>
            <v:line style="position:absolute" from="6394,14002" to="7177,14002" stroked="true" strokeweight=".65pt" strokecolor="#000000">
              <v:stroke dashstyle="solid"/>
            </v:line>
            <v:shape style="position:absolute;left:6394;top:13956;width:196;height:91" coordorigin="6394,13956" coordsize="196,91" path="m6590,13956l6394,14002,6590,14047,6538,14002,6590,13956xe" filled="true" fillcolor="#000000" stroked="false">
              <v:path arrowok="t"/>
              <v:fill type="solid"/>
            </v:shape>
            <v:shape style="position:absolute;left:6394;top:13956;width:196;height:91" coordorigin="6394,13956" coordsize="196,91" path="m6394,14002l6590,14047,6538,14002,6590,13956,6394,14002xe" filled="false" stroked="true" strokeweight=".35pt" strokecolor="#000000">
              <v:path arrowok="t"/>
              <v:stroke dashstyle="solid"/>
            </v:shape>
            <v:line style="position:absolute" from="3916,14002" to="4829,14002" stroked="true" strokeweight=".65pt" strokecolor="#000000">
              <v:stroke dashstyle="solid"/>
            </v:line>
            <v:shape style="position:absolute;left:3916;top:13956;width:196;height:91" coordorigin="3916,13956" coordsize="196,91" path="m4112,13956l3916,14002,4112,14047,4060,14002,4112,13956xe" filled="true" fillcolor="#000000" stroked="false">
              <v:path arrowok="t"/>
              <v:fill type="solid"/>
            </v:shape>
            <v:shape style="position:absolute;left:3916;top:13956;width:196;height:91" coordorigin="3916,13956" coordsize="196,91" path="m3916,14002l4112,14047,4060,14002,4112,13956,3916,14002xe" filled="false" stroked="true" strokeweight=".35pt" strokecolor="#000000">
              <v:path arrowok="t"/>
              <v:stroke dashstyle="solid"/>
            </v:shape>
            <v:line style="position:absolute" from="3525,12829" to="4047,12829" stroked="true" strokeweight=".65pt" strokecolor="#000000">
              <v:stroke dashstyle="solid"/>
            </v:line>
            <v:shape style="position:absolute;left:3851;top:12783;width:196;height:91" coordorigin="3851,12783" coordsize="196,91" path="m3851,12783l3903,12829,3851,12874,4047,12829,3851,12783xe" filled="true" fillcolor="#000000" stroked="false">
              <v:path arrowok="t"/>
              <v:fill type="solid"/>
            </v:shape>
            <v:shape style="position:absolute;left:3851;top:12783;width:196;height:91" coordorigin="3851,12783" coordsize="196,91" path="m4047,12829l3851,12783,3903,12829,3851,12874,4047,12829xe" filled="false" stroked="true" strokeweight=".35pt" strokecolor="#000000">
              <v:path arrowok="t"/>
              <v:stroke dashstyle="solid"/>
            </v:shape>
            <v:line style="position:absolute" from="5090,12829" to="5612,12829" stroked="true" strokeweight=".65pt" strokecolor="#000000">
              <v:stroke dashstyle="solid"/>
            </v:line>
            <v:shape style="position:absolute;left:5416;top:12783;width:196;height:91" coordorigin="5416,12783" coordsize="196,91" path="m5416,12783l5468,12829,5416,12874,5612,12829,5416,12783xe" filled="true" fillcolor="#000000" stroked="false">
              <v:path arrowok="t"/>
              <v:fill type="solid"/>
            </v:shape>
            <v:shape style="position:absolute;left:5416;top:12783;width:196;height:91" coordorigin="5416,12783" coordsize="196,91" path="m5612,12829l5416,12783,5468,12829,5416,12874,5612,12829xe" filled="false" stroked="true" strokeweight=".35pt" strokecolor="#000000">
              <v:path arrowok="t"/>
              <v:stroke dashstyle="solid"/>
            </v:shape>
            <v:line style="position:absolute" from="6655,12829" to="7177,12829" stroked="true" strokeweight=".65pt" strokecolor="#000000">
              <v:stroke dashstyle="solid"/>
            </v:line>
            <v:shape style="position:absolute;left:6981;top:12783;width:196;height:91" coordorigin="6981,12783" coordsize="196,91" path="m6981,12783l7033,12829,6981,12874,7177,12829,6981,12783xe" filled="true" fillcolor="#000000" stroked="false">
              <v:path arrowok="t"/>
              <v:fill type="solid"/>
            </v:shape>
            <v:shape style="position:absolute;left:6981;top:12783;width:196;height:91" coordorigin="6981,12783" coordsize="196,91" path="m7177,12829l6981,12783,7033,12829,6981,12874,7177,12829xe" filled="false" stroked="true" strokeweight=".35pt" strokecolor="#000000">
              <v:path arrowok="t"/>
              <v:stroke dashstyle="solid"/>
            </v:shape>
            <v:line style="position:absolute" from="8220,12829" to="8742,12829" stroked="true" strokeweight=".65pt" strokecolor="#000000">
              <v:stroke dashstyle="solid"/>
            </v:line>
            <v:shape style="position:absolute;left:8546;top:12783;width:196;height:91" coordorigin="8546,12783" coordsize="196,91" path="m8546,12783l8598,12829,8546,12874,8742,12829,8546,12783xe" filled="true" fillcolor="#000000" stroked="false">
              <v:path arrowok="t"/>
              <v:fill type="solid"/>
            </v:shape>
            <v:shape style="position:absolute;left:8546;top:12783;width:196;height:91" coordorigin="8546,12783" coordsize="196,91" path="m8742,12829l8546,12783,8598,12829,8546,12874,8742,12829xe" filled="false" stroked="true" strokeweight=".35pt" strokecolor="#000000">
              <v:path arrowok="t"/>
              <v:stroke dashstyle="solid"/>
            </v:shape>
            <v:shape style="position:absolute;left:4568;top:12320;width:2;height:248" coordorigin="4568,12320" coordsize="0,248" path="m4568,12568l4568,12477m4568,12444l4568,12353m4568,12320l4568,12320e" filled="false" stroked="true" strokeweight=".65pt" strokecolor="#000000">
              <v:path arrowok="t"/>
              <v:stroke dashstyle="solid"/>
            </v:shape>
            <v:shape style="position:absolute;left:4523;top:12177;width:91;height:189" coordorigin="4523,12177" coordsize="91,189" path="m4568,12177l4523,12366,4568,12320,4603,12320,4568,12177xm4603,12320l4568,12320,4614,12366,4603,12320xe" filled="true" fillcolor="#000000" stroked="false">
              <v:path arrowok="t"/>
              <v:fill type="solid"/>
            </v:shape>
            <v:shape style="position:absolute;left:4523;top:12177;width:91;height:189" coordorigin="4523,12177" coordsize="91,189" path="m4568,12177l4523,12366,4568,12320,4614,12366,4568,12177xe" filled="false" stroked="true" strokeweight=".35pt" strokecolor="#000000">
              <v:path arrowok="t"/>
              <v:stroke dashstyle="solid"/>
            </v:shape>
            <v:shape style="position:absolute;left:1829;top:11916;width:3131;height:652" coordorigin="1829,11916" coordsize="3131,652" path="m4177,11916l4210,11916m4242,11916l4275,11916m4307,11916l4340,11916m4373,11916l4405,11916m4438,11916l4470,11916m4503,11916l4536,11916m4568,11916l4601,11916m4634,11916l4666,11916m4699,11916l4731,11916m4764,11916l4797,11916m4829,11916l4862,11916m4894,11916l4927,11916m4960,11916l4960,11949m4960,11982l4960,12014m4960,12047l4960,12079m4960,12112l4960,12144m4177,11916l4177,11949m4177,11982l4177,12014m4177,12047l4177,12079m4177,12112l4177,12144m1829,11916l1862,11916m1895,11916l1927,11916m1960,11916l1992,11916m2025,11916l2058,11916m2090,11916l2123,11916m2156,11916l2188,11916m2221,11916l2253,11916m2286,11916l2319,11916m2351,11916l2384,11916m2416,11916l2449,11916m2482,11916l2514,11916m2547,11916l2579,11916m2612,11916l2645,11916m2677,11916l2710,11916m2742,11916l2775,11916m2808,11916l2840,11916m2873,11916l2905,11916m2938,11916l2971,11916m3003,11916l3036,11916m3068,11916l3101,11916m3134,11916l3166,11916m3199,11916l3231,11916m3264,11916l3297,11916m3329,11916l3362,11916m3395,11916l3427,11916m3460,11916l3492,11916m3525,11916l3558,11916m3590,11916l3623,11916m3655,11916l3655,11949m3655,11982l3655,12014m3655,12047l3655,12079m3655,12112l3655,12144m1829,11916l1829,11949m1829,11982l1829,12014m1829,12047l1829,12079m1829,12112l1829,12144m2742,12568l2742,12477m2742,12444l2742,12353m2742,12320l2742,12320e" filled="false" stroked="true" strokeweight=".65pt" strokecolor="#000000">
              <v:path arrowok="t"/>
              <v:stroke dashstyle="solid"/>
            </v:shape>
            <v:shape style="position:absolute;left:2697;top:12177;width:91;height:189" coordorigin="2697,12177" coordsize="91,189" path="m2742,12177l2697,12366,2742,12320,2777,12320,2742,12177xm2777,12320l2742,12320,2788,12366,2777,12320xe" filled="true" fillcolor="#000000" stroked="false">
              <v:path arrowok="t"/>
              <v:fill type="solid"/>
            </v:shape>
            <v:shape style="position:absolute;left:2697;top:12177;width:91;height:189" coordorigin="2697,12177" coordsize="91,189" path="m2742,12177l2697,12366,2742,12320,2788,12366,2742,12177xe" filled="false" stroked="true" strokeweight=".35pt" strokecolor="#000000">
              <v:path arrowok="t"/>
              <v:stroke dashstyle="solid"/>
            </v:shape>
            <v:shape style="position:absolute;left:5266;top:14262;width:528;height:652" coordorigin="5266,14262" coordsize="528,652" path="m5273,14653l5305,14653m5338,14653l5370,14653m5403,14653l5436,14653m5468,14653l5501,14653m5533,14653l5566,14653m5599,14653l5631,14653m5664,14653l5696,14653m5729,14653l5762,14653m5794,14653l5794,14686m5794,14718l5794,14751m5794,14783l5794,14816m5794,14849l5794,14881m5273,14914l5266,14849m5338,14914l5370,14914m5403,14914l5436,14914m5468,14914l5501,14914m5533,14914l5566,14914m5599,14914l5631,14914m5664,14914l5696,14914m5729,14914l5762,14914m5273,14653l5273,14686m5273,14718l5273,14751m5273,14783l5273,14816m5273,14849l5273,14881m5533,14262l5533,14353m5533,14386l5533,14477e" filled="false" stroked="true" strokeweight=".65pt" strokecolor="#000000">
              <v:path arrowok="t"/>
              <v:stroke dashstyle="solid"/>
            </v:shape>
            <v:shape style="position:absolute;left:5488;top:14464;width:91;height:189" coordorigin="5488,14464" coordsize="91,189" path="m5488,14464l5533,14653,5568,14510,5533,14510,5488,14464xm5579,14464l5533,14510,5568,14510,5579,14464xe" filled="true" fillcolor="#000000" stroked="false">
              <v:path arrowok="t"/>
              <v:fill type="solid"/>
            </v:shape>
            <v:shape style="position:absolute;left:5488;top:14464;width:91;height:189" coordorigin="5488,14464" coordsize="91,189" path="m5533,14653l5579,14464,5533,14510,5488,14464,5533,14653xe" filled="false" stroked="true" strokeweight=".35pt" strokecolor="#000000">
              <v:path arrowok="t"/>
              <v:stroke dashstyle="solid"/>
            </v:shape>
            <v:shape style="position:absolute;left:6253;top:14262;width:2;height:215" coordorigin="6253,14262" coordsize="0,215" path="m6253,14262l6253,14353m6253,14386l6253,14477e" filled="false" stroked="true" strokeweight=".65pt" strokecolor="#000000">
              <v:path arrowok="t"/>
              <v:stroke dashstyle="solid"/>
            </v:shape>
            <v:shape style="position:absolute;left:6207;top:14464;width:92;height:189" coordorigin="6207,14464" coordsize="92,189" path="m6207,14464l6253,14653,6288,14510,6253,14510,6207,14464xm6299,14464l6253,14510,6288,14510,6299,14464xe" filled="true" fillcolor="#000000" stroked="false">
              <v:path arrowok="t"/>
              <v:fill type="solid"/>
            </v:shape>
            <v:shape style="position:absolute;left:6207;top:14464;width:92;height:189" coordorigin="6207,14464" coordsize="92,189" path="m6253,14653l6299,14464,6253,14510,6207,14464,6253,14653xe" filled="false" stroked="true" strokeweight=".35pt" strokecolor="#000000">
              <v:path arrowok="t"/>
              <v:stroke dashstyle="solid"/>
            </v:shape>
            <v:shape style="position:absolute;left:7698;top:12320;width:2;height:248" coordorigin="7698,12320" coordsize="0,248" path="m7698,12568l7698,12477m7698,12444l7698,12353m7698,12320l7698,12320e" filled="false" stroked="true" strokeweight=".65pt" strokecolor="#000000">
              <v:path arrowok="t"/>
              <v:stroke dashstyle="solid"/>
            </v:shape>
            <v:shape style="position:absolute;left:7653;top:12177;width:91;height:189" coordorigin="7653,12177" coordsize="91,189" path="m7698,12177l7653,12366,7698,12320,7733,12320,7698,12177xm7733,12320l7698,12320,7744,12366,7733,12320xe" filled="true" fillcolor="#000000" stroked="false">
              <v:path arrowok="t"/>
              <v:fill type="solid"/>
            </v:shape>
            <v:shape style="position:absolute;left:7653;top:12177;width:91;height:189" coordorigin="7653,12177" coordsize="91,189" path="m7698,12177l7653,12366,7698,12320,7744,12366,7698,12177xe" filled="false" stroked="true" strokeweight=".35pt" strokecolor="#000000">
              <v:path arrowok="t"/>
              <v:stroke dashstyle="solid"/>
            </v:shape>
            <v:shape style="position:absolute;left:6133;top:12320;width:2;height:248" coordorigin="6133,12320" coordsize="0,248" path="m6133,12568l6133,12477m6133,12444l6133,12353m6133,12320l6133,12320e" filled="false" stroked="true" strokeweight=".65pt" strokecolor="#000000">
              <v:path arrowok="t"/>
              <v:stroke dashstyle="solid"/>
            </v:shape>
            <v:shape style="position:absolute;left:6088;top:12177;width:91;height:189" coordorigin="6088,12177" coordsize="91,189" path="m6133,12177l6088,12366,6133,12320,6168,12320,6133,12177xm6168,12320l6133,12320,6179,12366,6168,12320xe" filled="true" fillcolor="#000000" stroked="false">
              <v:path arrowok="t"/>
              <v:fill type="solid"/>
            </v:shape>
            <v:shape style="position:absolute;left:6088;top:12177;width:91;height:189" coordorigin="6088,12177" coordsize="91,189" path="m6133,12177l6088,12366,6133,12320,6179,12366,6133,12177xe" filled="false" stroked="true" strokeweight=".35pt" strokecolor="#000000">
              <v:path arrowok="t"/>
              <v:stroke dashstyle="solid"/>
            </v:shape>
            <v:shape style="position:absolute;left:5873;top:11916;width:1843;height:2578" coordorigin="5873,11916" coordsize="1843,2578" path="m5873,11916l5905,11916m5938,11916l5970,11916m6003,11916l6036,11916m6068,11916l6101,11916m6133,11916l6166,11916m6199,11916l6231,11916m6264,11916l6296,11916m6329,11916l6362,11916m6394,11916l6394,11949m6394,11982l6394,12014m6394,12047l6394,12079m6394,12112l6394,12144m5873,11916l5873,11949m5873,11982l5873,12014m5873,12047l5873,12079m5873,12112l5873,12144m7716,14279l7716,14370m7716,14404l7716,14494e" filled="false" stroked="true" strokeweight=".65pt" strokecolor="#000000">
              <v:path arrowok="t"/>
              <v:stroke dashstyle="solid"/>
            </v:shape>
            <v:shape style="position:absolute;left:7670;top:14482;width:92;height:188" coordorigin="7670,14482" coordsize="92,188" path="m7670,14482l7716,14670,7751,14528,7716,14528,7670,14482xm7762,14482l7716,14528,7751,14528,7762,14482xe" filled="true" fillcolor="#000000" stroked="false">
              <v:path arrowok="t"/>
              <v:fill type="solid"/>
            </v:shape>
            <v:shape style="position:absolute;left:7670;top:14482;width:92;height:188" coordorigin="7670,14482" coordsize="92,188" path="m7716,14670l7762,14482,7716,14528,7670,14482,7716,14670xe" filled="false" stroked="true" strokeweight=".35pt" strokecolor="#000000">
              <v:path arrowok="t"/>
              <v:stroke dashstyle="solid"/>
            </v:shape>
            <v:shape style="position:absolute;left:9288;top:14266;width:2;height:215" coordorigin="9288,14266" coordsize="0,215" path="m9288,14266l9288,14357m9288,14390l9288,14481e" filled="false" stroked="true" strokeweight=".65pt" strokecolor="#000000">
              <v:path arrowok="t"/>
              <v:stroke dashstyle="solid"/>
            </v:shape>
            <v:shape style="position:absolute;left:9242;top:14468;width:92;height:189" coordorigin="9242,14468" coordsize="92,189" path="m9242,14468l9288,14657,9323,14514,9288,14514,9242,14468xm9334,14468l9288,14514,9323,14514,9334,14468xe" filled="true" fillcolor="#000000" stroked="false">
              <v:path arrowok="t"/>
              <v:fill type="solid"/>
            </v:shape>
            <v:shape style="position:absolute;left:9242;top:14468;width:92;height:189" coordorigin="9242,14468" coordsize="92,189" path="m9288,14657l9334,14468,9288,14514,9242,14468,9288,14657xe" filled="false" stroked="true" strokeweight=".35pt" strokecolor="#000000">
              <v:path arrowok="t"/>
              <v:stroke dashstyle="solid"/>
            </v:shape>
            <v:shape style="position:absolute;left:4692;top:14256;width:521;height:652" coordorigin="4692,14256" coordsize="521,652" path="m4692,14647l4724,14647m4757,14647l4789,14647m4822,14647l4855,14647m4887,14647l4920,14647m4952,14647l4985,14647m5018,14647l5050,14647m5083,14647l5115,14647m5148,14647l5181,14647m5213,14647l5213,14680m5213,14712l5213,14745m5213,14777l5213,14810m5213,14843l5213,14875m4692,14908l4724,14908m4757,14908l4789,14908m4822,14908l4855,14908m4887,14908l4920,14908m4952,14908l4985,14908m5018,14908l5050,14908m5083,14908l5115,14908m5148,14908l5181,14908m4692,14647l4692,14680m4692,14712l4692,14745m4692,14777l4692,14810m4692,14843l4692,14875m4952,14256l4952,14347m4952,14380l4952,14471e" filled="false" stroked="true" strokeweight=".65pt" strokecolor="#000000">
              <v:path arrowok="t"/>
              <v:stroke dashstyle="solid"/>
            </v:shape>
            <v:shape style="position:absolute;left:4907;top:14458;width:91;height:189" coordorigin="4907,14458" coordsize="91,189" path="m4907,14458l4952,14647,4987,14504,4952,14504,4907,14458xm4998,14458l4952,14504,4987,14504,4998,14458xe" filled="true" fillcolor="#000000" stroked="false">
              <v:path arrowok="t"/>
              <v:fill type="solid"/>
            </v:shape>
            <v:shape style="position:absolute;left:4907;top:14458;width:91;height:189" coordorigin="4907,14458" coordsize="91,189" path="m4952,14647l4998,14458,4952,14504,4907,14458,4952,14647xe" filled="false" stroked="true" strokeweight=".35pt" strokecolor="#000000">
              <v:path arrowok="t"/>
              <v:stroke dashstyle="solid"/>
            </v:shape>
            <w10:wrap type="none"/>
          </v:group>
        </w:pict>
      </w:r>
    </w:p>
    <w:p>
      <w:pPr>
        <w:tabs>
          <w:tab w:pos="2834" w:val="left" w:leader="none"/>
          <w:tab w:pos="4359" w:val="left" w:leader="none"/>
          <w:tab w:pos="5964" w:val="left" w:leader="none"/>
          <w:tab w:pos="7529" w:val="left" w:leader="none"/>
        </w:tabs>
        <w:spacing w:line="240" w:lineRule="auto"/>
        <w:ind w:left="753" w:right="0" w:firstLine="0"/>
        <w:rPr>
          <w:sz w:val="20"/>
        </w:rPr>
      </w:pPr>
      <w:r>
        <w:rPr>
          <w:position w:val="0"/>
          <w:sz w:val="20"/>
        </w:rPr>
        <w:pict>
          <v:shape style="width:78.25pt;height:26.05pt;mso-position-horizontal-relative:char;mso-position-vertical-relative:line" type="#_x0000_t202" filled="false" stroked="true" strokeweight=".65pt" strokecolor="#000000">
            <w10:anchorlock/>
            <v:textbox inset="0,0,0,0">
              <w:txbxContent>
                <w:p>
                  <w:pPr>
                    <w:spacing w:before="102"/>
                    <w:ind w:left="229" w:right="0" w:firstLine="0"/>
                    <w:jc w:val="left"/>
                    <w:rPr>
                      <w:sz w:val="18"/>
                    </w:rPr>
                  </w:pPr>
                  <w:r>
                    <w:rPr>
                      <w:sz w:val="18"/>
                    </w:rPr>
                    <w:t>施工人员进场</w:t>
                  </w:r>
                </w:p>
              </w:txbxContent>
            </v:textbox>
            <v:stroke dashstyle="solid"/>
          </v:shape>
        </w:pict>
      </w:r>
      <w:r>
        <w:rPr>
          <w:position w:val="0"/>
          <w:sz w:val="20"/>
        </w:rPr>
      </w:r>
      <w:r>
        <w:rPr>
          <w:position w:val="0"/>
          <w:sz w:val="20"/>
        </w:rPr>
        <w:tab/>
      </w:r>
      <w:r>
        <w:rPr>
          <w:position w:val="0"/>
          <w:sz w:val="20"/>
        </w:rPr>
        <w:pict>
          <v:shape style="width:52.15pt;height:26.05pt;mso-position-horizontal-relative:char;mso-position-vertical-relative:line" type="#_x0000_t202" filled="false" stroked="true" strokeweight=".65pt" strokecolor="#000000">
            <w10:anchorlock/>
            <v:textbox inset="0,0,0,0">
              <w:txbxContent>
                <w:p>
                  <w:pPr>
                    <w:spacing w:before="102"/>
                    <w:ind w:left="149" w:right="0" w:firstLine="0"/>
                    <w:jc w:val="left"/>
                    <w:rPr>
                      <w:sz w:val="18"/>
                    </w:rPr>
                  </w:pPr>
                  <w:r>
                    <w:rPr>
                      <w:sz w:val="18"/>
                    </w:rPr>
                    <w:t>场地平整</w:t>
                  </w:r>
                </w:p>
              </w:txbxContent>
            </v:textbox>
            <v:stroke dashstyle="solid"/>
          </v:shape>
        </w:pict>
      </w:r>
      <w:r>
        <w:rPr>
          <w:position w:val="0"/>
          <w:sz w:val="20"/>
        </w:rPr>
      </w:r>
      <w:r>
        <w:rPr>
          <w:position w:val="0"/>
          <w:sz w:val="20"/>
        </w:rPr>
        <w:tab/>
      </w:r>
      <w:r>
        <w:rPr>
          <w:position w:val="0"/>
          <w:sz w:val="20"/>
        </w:rPr>
        <w:pict>
          <v:shape style="width:54.15pt;height:26.05pt;mso-position-horizontal-relative:char;mso-position-vertical-relative:line" type="#_x0000_t202" filled="false" stroked="true" strokeweight=".65pt" strokecolor="#000000">
            <w10:anchorlock/>
            <v:textbox inset="0,0,0,0">
              <w:txbxContent>
                <w:p>
                  <w:pPr>
                    <w:spacing w:before="102"/>
                    <w:ind w:left="189" w:right="0" w:firstLine="0"/>
                    <w:jc w:val="left"/>
                    <w:rPr>
                      <w:sz w:val="18"/>
                    </w:rPr>
                  </w:pPr>
                  <w:r>
                    <w:rPr>
                      <w:sz w:val="18"/>
                    </w:rPr>
                    <w:t>打桩工程</w:t>
                  </w:r>
                </w:p>
              </w:txbxContent>
            </v:textbox>
            <v:stroke dashstyle="solid"/>
          </v:shape>
        </w:pict>
      </w:r>
      <w:r>
        <w:rPr>
          <w:position w:val="0"/>
          <w:sz w:val="20"/>
        </w:rPr>
      </w:r>
      <w:r>
        <w:rPr>
          <w:position w:val="0"/>
          <w:sz w:val="20"/>
        </w:rPr>
        <w:tab/>
      </w:r>
      <w:r>
        <w:rPr>
          <w:position w:val="0"/>
          <w:sz w:val="20"/>
        </w:rPr>
        <w:pict>
          <v:shape style="width:52.15pt;height:26.05pt;mso-position-horizontal-relative:char;mso-position-vertical-relative:line" type="#_x0000_t202" filled="false" stroked="true" strokeweight=".65pt" strokecolor="#000000">
            <w10:anchorlock/>
            <v:textbox inset="0,0,0,0">
              <w:txbxContent>
                <w:p>
                  <w:pPr>
                    <w:spacing w:before="102"/>
                    <w:ind w:left="149" w:right="0" w:firstLine="0"/>
                    <w:jc w:val="left"/>
                    <w:rPr>
                      <w:sz w:val="18"/>
                    </w:rPr>
                  </w:pPr>
                  <w:r>
                    <w:rPr>
                      <w:sz w:val="18"/>
                    </w:rPr>
                    <w:t>开挖基坑</w:t>
                  </w:r>
                </w:p>
              </w:txbxContent>
            </v:textbox>
            <v:stroke dashstyle="solid"/>
          </v:shape>
        </w:pict>
      </w:r>
      <w:r>
        <w:rPr>
          <w:position w:val="0"/>
          <w:sz w:val="20"/>
        </w:rPr>
      </w:r>
      <w:r>
        <w:rPr>
          <w:position w:val="0"/>
          <w:sz w:val="20"/>
        </w:rPr>
        <w:tab/>
      </w:r>
      <w:r>
        <w:rPr>
          <w:position w:val="0"/>
          <w:sz w:val="20"/>
        </w:rPr>
        <w:pict>
          <v:shape style="width:52.15pt;height:26.05pt;mso-position-horizontal-relative:char;mso-position-vertical-relative:line" type="#_x0000_t202" filled="false" stroked="true" strokeweight=".65pt" strokecolor="#000000">
            <w10:anchorlock/>
            <v:textbox inset="0,0,0,0">
              <w:txbxContent>
                <w:p>
                  <w:pPr>
                    <w:spacing w:before="102"/>
                    <w:ind w:left="150" w:right="0" w:firstLine="0"/>
                    <w:jc w:val="left"/>
                    <w:rPr>
                      <w:sz w:val="18"/>
                    </w:rPr>
                  </w:pPr>
                  <w:r>
                    <w:rPr>
                      <w:sz w:val="18"/>
                    </w:rPr>
                    <w:t>围护工程</w:t>
                  </w:r>
                </w:p>
              </w:txbxContent>
            </v:textbox>
            <v:stroke dashstyle="solid"/>
          </v:shape>
        </w:pict>
      </w:r>
      <w:r>
        <w:rPr>
          <w:position w:val="0"/>
          <w:sz w:val="20"/>
        </w:rPr>
      </w:r>
    </w:p>
    <w:p>
      <w:pPr>
        <w:pStyle w:val="BodyText"/>
        <w:spacing w:before="20"/>
        <w:rPr>
          <w:sz w:val="26"/>
        </w:rPr>
      </w:pPr>
      <w:r>
        <w:rPr/>
        <w:pict>
          <v:shape style="position:absolute;margin-left:104.5pt;margin-top:30.9pt;width:91.3pt;height:26.05pt;mso-position-horizontal-relative:page;mso-position-vertical-relative:paragraph;z-index:-760;mso-wrap-distance-left:0;mso-wrap-distance-right:0" type="#_x0000_t202" filled="false" stroked="true" strokeweight=".65pt" strokecolor="#000000">
            <v:textbox inset="0,0,0,0">
              <w:txbxContent>
                <w:p>
                  <w:pPr>
                    <w:spacing w:before="95"/>
                    <w:ind w:left="330" w:right="0" w:firstLine="0"/>
                    <w:jc w:val="left"/>
                    <w:rPr>
                      <w:sz w:val="18"/>
                    </w:rPr>
                  </w:pPr>
                  <w:r>
                    <w:rPr>
                      <w:sz w:val="18"/>
                    </w:rPr>
                    <w:t>市政配套及绿化</w:t>
                  </w:r>
                </w:p>
              </w:txbxContent>
            </v:textbox>
            <v:stroke dashstyle="solid"/>
            <w10:wrap type="topAndBottom"/>
          </v:shape>
        </w:pict>
      </w:r>
      <w:r>
        <w:rPr/>
        <w:pict>
          <v:shape style="position:absolute;margin-left:241.449997pt;margin-top:30.9pt;width:78.25pt;height:26.05pt;mso-position-horizontal-relative:page;mso-position-vertical-relative:paragraph;z-index:-736;mso-wrap-distance-left:0;mso-wrap-distance-right:0" type="#_x0000_t202" filled="false" stroked="true" strokeweight=".65pt" strokecolor="#000000">
            <v:textbox inset="0,0,0,0">
              <w:txbxContent>
                <w:p>
                  <w:pPr>
                    <w:spacing w:before="95"/>
                    <w:ind w:left="431" w:right="0" w:firstLine="0"/>
                    <w:jc w:val="left"/>
                    <w:rPr>
                      <w:sz w:val="18"/>
                    </w:rPr>
                  </w:pPr>
                  <w:r>
                    <w:rPr>
                      <w:sz w:val="18"/>
                    </w:rPr>
                    <w:t>装修工程</w:t>
                  </w:r>
                </w:p>
              </w:txbxContent>
            </v:textbox>
            <v:stroke dashstyle="solid"/>
            <w10:wrap type="topAndBottom"/>
          </v:shape>
        </w:pict>
      </w:r>
      <w:r>
        <w:rPr/>
        <w:pict>
          <v:shape style="position:absolute;margin-left:358.850006pt;margin-top:30.9pt;width:52.15pt;height:26.05pt;mso-position-horizontal-relative:page;mso-position-vertical-relative:paragraph;z-index:-712;mso-wrap-distance-left:0;mso-wrap-distance-right:0" type="#_x0000_t202" filled="false" stroked="true" strokeweight=".65pt" strokecolor="#000000">
            <v:textbox inset="0,0,0,0">
              <w:txbxContent>
                <w:p>
                  <w:pPr>
                    <w:spacing w:before="95"/>
                    <w:ind w:left="169" w:right="0" w:firstLine="0"/>
                    <w:jc w:val="left"/>
                    <w:rPr>
                      <w:sz w:val="18"/>
                    </w:rPr>
                  </w:pPr>
                  <w:r>
                    <w:rPr>
                      <w:sz w:val="18"/>
                    </w:rPr>
                    <w:t>主体结构</w:t>
                  </w:r>
                </w:p>
              </w:txbxContent>
            </v:textbox>
            <v:stroke dashstyle="solid"/>
            <w10:wrap type="topAndBottom"/>
          </v:shape>
        </w:pict>
      </w:r>
      <w:r>
        <w:rPr/>
        <w:pict>
          <v:shape style="position:absolute;margin-left:437.100006pt;margin-top:30.9pt;width:52.15pt;height:26.05pt;mso-position-horizontal-relative:page;mso-position-vertical-relative:paragraph;z-index:-688;mso-wrap-distance-left:0;mso-wrap-distance-right:0" type="#_x0000_t202" filled="false" stroked="true" strokeweight=".65pt" strokecolor="#000000">
            <v:textbox inset="0,0,0,0">
              <w:txbxContent>
                <w:p>
                  <w:pPr>
                    <w:spacing w:before="100"/>
                    <w:ind w:left="150" w:right="0" w:firstLine="0"/>
                    <w:jc w:val="left"/>
                    <w:rPr>
                      <w:sz w:val="18"/>
                    </w:rPr>
                  </w:pPr>
                  <w:r>
                    <w:rPr>
                      <w:sz w:val="18"/>
                    </w:rPr>
                    <w:t>地下结构</w:t>
                  </w:r>
                </w:p>
              </w:txbxContent>
            </v:textbox>
            <v:stroke dashstyle="solid"/>
            <w10:wrap type="topAndBottom"/>
          </v:shape>
        </w:pict>
      </w:r>
    </w:p>
    <w:p>
      <w:pPr>
        <w:pStyle w:val="BodyText"/>
        <w:spacing w:before="1"/>
        <w:rPr>
          <w:sz w:val="14"/>
        </w:rPr>
      </w:pPr>
    </w:p>
    <w:p>
      <w:pPr>
        <w:spacing w:line="373" w:lineRule="exact" w:before="0"/>
        <w:ind w:left="1711" w:right="3547" w:firstLine="0"/>
        <w:jc w:val="center"/>
        <w:rPr>
          <w:sz w:val="18"/>
        </w:rPr>
      </w:pPr>
      <w:r>
        <w:rPr/>
        <w:pict>
          <v:shape style="position:absolute;margin-left:444.850006pt;margin-top:3.06pt;width:39.1pt;height:13.05pt;mso-position-horizontal-relative:page;mso-position-vertical-relative:paragraph;z-index:1408" type="#_x0000_t202" filled="false" stroked="true" strokeweight=".65pt" strokecolor="#000000">
            <v:textbox inset="0,0,0,0">
              <w:txbxContent>
                <w:p>
                  <w:pPr>
                    <w:spacing w:line="248" w:lineRule="exact" w:before="0"/>
                    <w:ind w:left="21" w:right="0" w:firstLine="0"/>
                    <w:jc w:val="left"/>
                    <w:rPr>
                      <w:sz w:val="18"/>
                    </w:rPr>
                  </w:pPr>
                  <w:r>
                    <w:rPr>
                      <w:sz w:val="18"/>
                    </w:rPr>
                    <w:t>建筑垃圾</w:t>
                  </w:r>
                </w:p>
              </w:txbxContent>
            </v:textbox>
            <v:stroke dashstyle="solid"/>
            <w10:wrap type="none"/>
          </v:shape>
        </w:pict>
      </w:r>
      <w:r>
        <w:rPr/>
        <w:pict>
          <v:shape style="position:absolute;margin-left:366.25pt;margin-top:3.71pt;width:39.1pt;height:13.05pt;mso-position-horizontal-relative:page;mso-position-vertical-relative:paragraph;z-index:1432" type="#_x0000_t202" filled="false" stroked="true" strokeweight=".65pt" strokecolor="#000000">
            <v:textbox inset="0,0,0,0">
              <w:txbxContent>
                <w:p>
                  <w:pPr>
                    <w:spacing w:line="248" w:lineRule="exact" w:before="0"/>
                    <w:ind w:left="21" w:right="0" w:firstLine="0"/>
                    <w:jc w:val="left"/>
                    <w:rPr>
                      <w:sz w:val="18"/>
                    </w:rPr>
                  </w:pPr>
                  <w:r>
                    <w:rPr>
                      <w:sz w:val="18"/>
                    </w:rPr>
                    <w:t>建筑垃圾</w:t>
                  </w:r>
                </w:p>
              </w:txbxContent>
            </v:textbox>
            <v:stroke dashstyle="solid"/>
            <w10:wrap type="none"/>
          </v:shape>
        </w:pict>
      </w:r>
      <w:r>
        <w:rPr/>
        <w:pict>
          <v:shape style="position:absolute;margin-left:293.100006pt;margin-top:2.86pt;width:39.1pt;height:13.05pt;mso-position-horizontal-relative:page;mso-position-vertical-relative:paragraph;z-index:1456" type="#_x0000_t202" filled="false" stroked="true" strokeweight=".65pt" strokecolor="#000000">
            <v:textbox inset="0,0,0,0">
              <w:txbxContent>
                <w:p>
                  <w:pPr>
                    <w:spacing w:line="248" w:lineRule="exact" w:before="0"/>
                    <w:ind w:left="34" w:right="0" w:firstLine="0"/>
                    <w:jc w:val="left"/>
                    <w:rPr>
                      <w:sz w:val="18"/>
                    </w:rPr>
                  </w:pPr>
                  <w:r>
                    <w:rPr>
                      <w:sz w:val="18"/>
                    </w:rPr>
                    <w:t>建筑垃圾</w:t>
                  </w:r>
                </w:p>
              </w:txbxContent>
            </v:textbox>
            <v:stroke dashstyle="solid"/>
            <w10:wrap type="none"/>
          </v:shape>
        </w:pict>
      </w:r>
      <w:r>
        <w:rPr/>
        <w:pict>
          <v:shape style="position:absolute;margin-left:262.475006pt;margin-top:3.185pt;width:26.9pt;height:12.4pt;mso-position-horizontal-relative:page;mso-position-vertical-relative:paragraph;z-index:1480" type="#_x0000_t202" filled="false" stroked="false">
            <v:textbox inset="0,0,0,0">
              <w:txbxContent>
                <w:p>
                  <w:pPr>
                    <w:spacing w:line="248" w:lineRule="exact" w:before="0"/>
                    <w:ind w:left="115" w:right="0" w:firstLine="0"/>
                    <w:jc w:val="left"/>
                    <w:rPr>
                      <w:sz w:val="18"/>
                    </w:rPr>
                  </w:pPr>
                  <w:r>
                    <w:rPr>
                      <w:sz w:val="18"/>
                    </w:rPr>
                    <w:t>噪声</w:t>
                  </w:r>
                </w:p>
              </w:txbxContent>
            </v:textbox>
            <w10:wrap type="none"/>
          </v:shape>
        </w:pict>
      </w:r>
      <w:r>
        <w:rPr>
          <w:sz w:val="18"/>
        </w:rPr>
        <w:t>废气</w:t>
      </w:r>
    </w:p>
    <w:p>
      <w:pPr>
        <w:spacing w:after="0" w:line="373" w:lineRule="exact"/>
        <w:jc w:val="center"/>
        <w:rPr>
          <w:sz w:val="18"/>
        </w:rPr>
        <w:sectPr>
          <w:type w:val="continuous"/>
          <w:pgSz w:w="11910" w:h="16840"/>
          <w:pgMar w:top="1580" w:bottom="280" w:left="1200" w:right="1340"/>
        </w:sectPr>
      </w:pPr>
    </w:p>
    <w:tbl>
      <w:tblPr>
        <w:tblW w:w="0" w:type="auto"/>
        <w:jc w:val="left"/>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98"/>
      </w:tblGrid>
      <w:tr>
        <w:trPr>
          <w:trHeight w:val="2183" w:hRule="atLeast"/>
        </w:trPr>
        <w:tc>
          <w:tcPr>
            <w:tcW w:w="8298" w:type="dxa"/>
          </w:tcPr>
          <w:p>
            <w:pPr>
              <w:pStyle w:val="TableParagraph"/>
              <w:spacing w:line="339" w:lineRule="exact"/>
              <w:ind w:left="2874" w:right="2863"/>
              <w:jc w:val="center"/>
              <w:rPr>
                <w:sz w:val="21"/>
              </w:rPr>
            </w:pPr>
            <w:r>
              <w:rPr>
                <w:sz w:val="21"/>
              </w:rPr>
              <w:t>图 </w:t>
            </w:r>
            <w:r>
              <w:rPr>
                <w:rFonts w:ascii="Arial" w:eastAsia="Arial"/>
                <w:b/>
                <w:sz w:val="21"/>
              </w:rPr>
              <w:t>4-1 </w:t>
            </w:r>
            <w:r>
              <w:rPr>
                <w:sz w:val="21"/>
              </w:rPr>
              <w:t>施工工艺流程图</w:t>
            </w:r>
          </w:p>
          <w:p>
            <w:pPr>
              <w:pStyle w:val="TableParagraph"/>
              <w:spacing w:line="417" w:lineRule="exact"/>
              <w:ind w:left="107"/>
              <w:rPr>
                <w:sz w:val="21"/>
              </w:rPr>
            </w:pPr>
            <w:r>
              <w:rPr>
                <w:rFonts w:ascii="Times New Roman" w:eastAsia="Times New Roman"/>
                <w:sz w:val="21"/>
              </w:rPr>
              <w:t>2</w:t>
            </w:r>
            <w:r>
              <w:rPr>
                <w:sz w:val="21"/>
              </w:rPr>
              <w:t>）营运期</w:t>
            </w:r>
          </w:p>
          <w:p>
            <w:pPr>
              <w:pStyle w:val="TableParagraph"/>
              <w:spacing w:line="252" w:lineRule="auto" w:before="23"/>
              <w:ind w:left="107" w:right="101"/>
              <w:rPr>
                <w:sz w:val="21"/>
              </w:rPr>
            </w:pPr>
            <w:r>
              <w:rPr>
                <w:sz w:val="21"/>
              </w:rPr>
              <w:t>营运期的大气污染物主要为公共卫生间、生活垃圾产生的异味；水污染物主要为生活污水；噪声源主要为暖通系统风机噪声、变配电设备噪声等；固废主要为生活垃圾等。</w:t>
            </w:r>
          </w:p>
        </w:tc>
      </w:tr>
      <w:tr>
        <w:trPr>
          <w:trHeight w:val="1872" w:hRule="atLeast"/>
        </w:trPr>
        <w:tc>
          <w:tcPr>
            <w:tcW w:w="8298" w:type="dxa"/>
          </w:tcPr>
          <w:p>
            <w:pPr>
              <w:pStyle w:val="TableParagraph"/>
              <w:spacing w:line="444" w:lineRule="exact"/>
              <w:ind w:left="107"/>
              <w:rPr>
                <w:sz w:val="21"/>
              </w:rPr>
            </w:pPr>
            <w:r>
              <w:rPr>
                <w:sz w:val="21"/>
              </w:rPr>
              <w:t>工程占地及平面布置</w:t>
            </w:r>
          </w:p>
          <w:p>
            <w:pPr>
              <w:pStyle w:val="TableParagraph"/>
              <w:spacing w:line="252" w:lineRule="auto" w:before="23"/>
              <w:ind w:left="107" w:right="53"/>
              <w:rPr>
                <w:sz w:val="21"/>
              </w:rPr>
            </w:pPr>
            <w:r>
              <w:rPr>
                <w:sz w:val="21"/>
              </w:rPr>
              <w:t>项目总用地面积</w:t>
            </w:r>
            <w:r>
              <w:rPr>
                <w:rFonts w:ascii="Times New Roman" w:eastAsia="Times New Roman"/>
                <w:sz w:val="21"/>
              </w:rPr>
              <w:t>8050.21m</w:t>
            </w:r>
            <w:r>
              <w:rPr>
                <w:rFonts w:ascii="Times New Roman" w:eastAsia="Times New Roman"/>
                <w:sz w:val="21"/>
                <w:vertAlign w:val="superscript"/>
              </w:rPr>
              <w:t>2</w:t>
            </w:r>
            <w:r>
              <w:rPr>
                <w:sz w:val="21"/>
                <w:vertAlign w:val="baseline"/>
              </w:rPr>
              <w:t>，总建筑面积</w:t>
            </w:r>
            <w:r>
              <w:rPr>
                <w:rFonts w:ascii="Times New Roman" w:eastAsia="Times New Roman"/>
                <w:sz w:val="21"/>
                <w:vertAlign w:val="baseline"/>
              </w:rPr>
              <w:t>6268.05 m</w:t>
            </w:r>
            <w:r>
              <w:rPr>
                <w:rFonts w:ascii="Times New Roman" w:eastAsia="Times New Roman"/>
                <w:sz w:val="21"/>
                <w:vertAlign w:val="superscript"/>
              </w:rPr>
              <w:t>2</w:t>
            </w:r>
            <w:r>
              <w:rPr>
                <w:sz w:val="21"/>
                <w:vertAlign w:val="baseline"/>
              </w:rPr>
              <w:t>，其中地上建筑面积为</w:t>
            </w:r>
            <w:r>
              <w:rPr>
                <w:rFonts w:ascii="Times New Roman" w:eastAsia="Times New Roman"/>
                <w:sz w:val="21"/>
                <w:vertAlign w:val="baseline"/>
              </w:rPr>
              <w:t>4228.93 m</w:t>
            </w:r>
            <w:r>
              <w:rPr>
                <w:rFonts w:ascii="Times New Roman" w:eastAsia="Times New Roman"/>
                <w:sz w:val="21"/>
                <w:vertAlign w:val="superscript"/>
              </w:rPr>
              <w:t>2</w:t>
            </w:r>
            <w:r>
              <w:rPr>
                <w:sz w:val="21"/>
                <w:vertAlign w:val="baseline"/>
              </w:rPr>
              <w:t>，地下建筑面积</w:t>
            </w:r>
            <w:r>
              <w:rPr>
                <w:rFonts w:ascii="Times New Roman" w:eastAsia="Times New Roman"/>
                <w:sz w:val="21"/>
                <w:vertAlign w:val="baseline"/>
              </w:rPr>
              <w:t>2039.12 m</w:t>
            </w:r>
            <w:r>
              <w:rPr>
                <w:rFonts w:ascii="Times New Roman" w:eastAsia="Times New Roman"/>
                <w:sz w:val="21"/>
                <w:vertAlign w:val="superscript"/>
              </w:rPr>
              <w:t>2</w:t>
            </w:r>
            <w:r>
              <w:rPr>
                <w:sz w:val="21"/>
                <w:vertAlign w:val="baseline"/>
              </w:rPr>
              <w:t>。主要建设博物馆及其配套用房。</w:t>
            </w:r>
          </w:p>
        </w:tc>
      </w:tr>
      <w:tr>
        <w:trPr>
          <w:trHeight w:val="4526" w:hRule="atLeast"/>
        </w:trPr>
        <w:tc>
          <w:tcPr>
            <w:tcW w:w="8298" w:type="dxa"/>
          </w:tcPr>
          <w:p>
            <w:pPr>
              <w:pStyle w:val="TableParagraph"/>
              <w:spacing w:line="444" w:lineRule="exact"/>
              <w:ind w:left="107"/>
              <w:rPr>
                <w:sz w:val="21"/>
              </w:rPr>
            </w:pPr>
            <w:r>
              <w:rPr>
                <w:sz w:val="21"/>
              </w:rPr>
              <w:t>工程环境保护投资明细</w:t>
            </w:r>
          </w:p>
          <w:p>
            <w:pPr>
              <w:pStyle w:val="TableParagraph"/>
              <w:spacing w:line="418" w:lineRule="exact" w:before="23"/>
              <w:ind w:left="107"/>
              <w:rPr>
                <w:sz w:val="21"/>
              </w:rPr>
            </w:pPr>
            <w:r>
              <w:rPr>
                <w:sz w:val="21"/>
              </w:rPr>
              <w:t>工程环境保护投资明细见表</w:t>
            </w:r>
            <w:r>
              <w:rPr>
                <w:rFonts w:ascii="Times New Roman" w:eastAsia="Times New Roman"/>
                <w:sz w:val="21"/>
              </w:rPr>
              <w:t>4-3</w:t>
            </w:r>
            <w:r>
              <w:rPr>
                <w:sz w:val="21"/>
              </w:rPr>
              <w:t>。</w:t>
            </w:r>
          </w:p>
          <w:p>
            <w:pPr>
              <w:pStyle w:val="TableParagraph"/>
              <w:spacing w:line="418" w:lineRule="exact"/>
              <w:ind w:left="2874" w:right="2865"/>
              <w:jc w:val="center"/>
              <w:rPr>
                <w:sz w:val="21"/>
              </w:rPr>
            </w:pPr>
            <w:r>
              <w:rPr>
                <w:sz w:val="21"/>
              </w:rPr>
              <w:t>表 </w:t>
            </w:r>
            <w:r>
              <w:rPr>
                <w:rFonts w:ascii="Arial" w:eastAsia="Arial"/>
                <w:b/>
                <w:sz w:val="21"/>
              </w:rPr>
              <w:t>4-3 </w:t>
            </w:r>
            <w:r>
              <w:rPr>
                <w:sz w:val="21"/>
              </w:rPr>
              <w:t>项目环保投资汇总表</w:t>
            </w:r>
          </w:p>
        </w:tc>
      </w:tr>
      <w:tr>
        <w:trPr>
          <w:trHeight w:val="5150" w:hRule="atLeast"/>
        </w:trPr>
        <w:tc>
          <w:tcPr>
            <w:tcW w:w="8298" w:type="dxa"/>
          </w:tcPr>
          <w:p>
            <w:pPr>
              <w:pStyle w:val="TableParagraph"/>
              <w:spacing w:line="252" w:lineRule="auto"/>
              <w:ind w:left="107" w:right="1872"/>
              <w:rPr>
                <w:sz w:val="21"/>
              </w:rPr>
            </w:pPr>
            <w:r>
              <w:rPr>
                <w:sz w:val="21"/>
              </w:rPr>
              <w:t>与项目有关的生态破坏和污染物排放、主要环境问题及环境保护措施一、施工期</w:t>
            </w:r>
          </w:p>
          <w:p>
            <w:pPr>
              <w:pStyle w:val="TableParagraph"/>
              <w:ind w:left="107"/>
              <w:rPr>
                <w:sz w:val="21"/>
              </w:rPr>
            </w:pPr>
            <w:r>
              <w:rPr>
                <w:sz w:val="21"/>
              </w:rPr>
              <w:t>施工期主要污染因子有：</w:t>
            </w:r>
          </w:p>
          <w:p>
            <w:pPr>
              <w:pStyle w:val="TableParagraph"/>
              <w:spacing w:before="23"/>
              <w:ind w:left="107"/>
              <w:rPr>
                <w:sz w:val="21"/>
              </w:rPr>
            </w:pPr>
            <w:r>
              <w:rPr>
                <w:rFonts w:ascii="Times New Roman" w:eastAsia="Times New Roman"/>
                <w:sz w:val="21"/>
              </w:rPr>
              <w:t>A</w:t>
            </w:r>
            <w:r>
              <w:rPr>
                <w:sz w:val="21"/>
              </w:rPr>
              <w:t>、建筑施工过程和建筑材料运输过程中引起的扬尘等。</w:t>
            </w:r>
          </w:p>
          <w:p>
            <w:pPr>
              <w:pStyle w:val="TableParagraph"/>
              <w:spacing w:line="252" w:lineRule="auto" w:before="23"/>
              <w:ind w:left="107" w:right="93"/>
              <w:rPr>
                <w:sz w:val="21"/>
              </w:rPr>
            </w:pPr>
            <w:r>
              <w:rPr>
                <w:rFonts w:ascii="Times New Roman" w:eastAsia="Times New Roman"/>
                <w:sz w:val="21"/>
              </w:rPr>
              <w:t>B</w:t>
            </w:r>
            <w:r>
              <w:rPr>
                <w:spacing w:val="-7"/>
                <w:sz w:val="21"/>
              </w:rPr>
              <w:t>、建筑施工中还会产生一定量的建设泥浆污水，如管理或处理不当，将对项目所在地周</w:t>
            </w:r>
            <w:r>
              <w:rPr>
                <w:spacing w:val="-5"/>
                <w:sz w:val="21"/>
              </w:rPr>
              <w:t>围环境造成一定的污染。</w:t>
            </w:r>
          </w:p>
          <w:p>
            <w:pPr>
              <w:pStyle w:val="TableParagraph"/>
              <w:spacing w:before="1"/>
              <w:ind w:left="107"/>
              <w:rPr>
                <w:sz w:val="21"/>
              </w:rPr>
            </w:pPr>
            <w:r>
              <w:rPr>
                <w:rFonts w:ascii="Times New Roman" w:eastAsia="Times New Roman"/>
                <w:sz w:val="21"/>
              </w:rPr>
              <w:t>C</w:t>
            </w:r>
            <w:r>
              <w:rPr>
                <w:sz w:val="21"/>
              </w:rPr>
              <w:t>、施工过程中会产生一定量的建筑垃圾以及施工人员生活垃圾。</w:t>
            </w:r>
          </w:p>
          <w:p>
            <w:pPr>
              <w:pStyle w:val="TableParagraph"/>
              <w:spacing w:line="252" w:lineRule="auto" w:before="22"/>
              <w:ind w:left="107" w:right="93"/>
              <w:rPr>
                <w:sz w:val="21"/>
              </w:rPr>
            </w:pPr>
            <w:r>
              <w:rPr>
                <w:rFonts w:ascii="Times New Roman" w:eastAsia="Times New Roman"/>
                <w:sz w:val="21"/>
              </w:rPr>
              <w:t>D</w:t>
            </w:r>
            <w:r>
              <w:rPr>
                <w:spacing w:val="-8"/>
                <w:sz w:val="21"/>
              </w:rPr>
              <w:t>、在施工建设中，各种建筑施工机械在运转中产生噪声，其噪声强度与施工设备的种类</w:t>
            </w:r>
            <w:r>
              <w:rPr>
                <w:spacing w:val="-5"/>
                <w:sz w:val="21"/>
              </w:rPr>
              <w:t>及施工队伍的管理等有关。</w:t>
            </w:r>
          </w:p>
          <w:p>
            <w:pPr>
              <w:pStyle w:val="TableParagraph"/>
              <w:spacing w:before="2"/>
              <w:ind w:left="107"/>
              <w:rPr>
                <w:sz w:val="21"/>
              </w:rPr>
            </w:pPr>
            <w:r>
              <w:rPr>
                <w:sz w:val="21"/>
              </w:rPr>
              <w:t>本次房地产项目建成后，项目废水经预处理达到《污水综合排放标准》（</w:t>
            </w:r>
            <w:r>
              <w:rPr>
                <w:rFonts w:ascii="Times New Roman" w:eastAsia="Times New Roman"/>
                <w:sz w:val="21"/>
              </w:rPr>
              <w:t>GB8978-1996</w:t>
            </w:r>
            <w:r>
              <w:rPr>
                <w:sz w:val="21"/>
              </w:rPr>
              <w:t>）</w:t>
            </w:r>
          </w:p>
          <w:p>
            <w:pPr>
              <w:pStyle w:val="TableParagraph"/>
              <w:spacing w:before="23"/>
              <w:ind w:left="107"/>
              <w:rPr>
                <w:sz w:val="21"/>
              </w:rPr>
            </w:pPr>
            <w:r>
              <w:rPr>
                <w:sz w:val="21"/>
              </w:rPr>
              <w:t>三级标准后纳入市政污水管道，送至宁波南区污水处理厂处理达《城镇污水处理厂污染</w:t>
            </w:r>
          </w:p>
        </w:tc>
      </w:tr>
    </w:tbl>
    <w:p>
      <w:pPr>
        <w:rPr>
          <w:sz w:val="2"/>
          <w:szCs w:val="2"/>
        </w:rPr>
      </w:pPr>
      <w:r>
        <w:rPr/>
        <w:pict>
          <v:shape style="position:absolute;margin-left:90.024002pt;margin-top:338.689972pt;width:404.4pt;height:129.4pt;mso-position-horizontal-relative:page;mso-position-vertical-relative:page;z-index:155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5840"/>
                    <w:gridCol w:w="1560"/>
                  </w:tblGrid>
                  <w:tr>
                    <w:trPr>
                      <w:trHeight w:val="313" w:hRule="atLeast"/>
                    </w:trPr>
                    <w:tc>
                      <w:tcPr>
                        <w:tcW w:w="672" w:type="dxa"/>
                      </w:tcPr>
                      <w:p>
                        <w:pPr>
                          <w:pStyle w:val="TableParagraph"/>
                          <w:spacing w:line="294" w:lineRule="exact"/>
                          <w:ind w:left="124"/>
                          <w:rPr>
                            <w:sz w:val="21"/>
                          </w:rPr>
                        </w:pPr>
                        <w:r>
                          <w:rPr>
                            <w:sz w:val="21"/>
                          </w:rPr>
                          <w:t>类别</w:t>
                        </w:r>
                      </w:p>
                    </w:tc>
                    <w:tc>
                      <w:tcPr>
                        <w:tcW w:w="5840" w:type="dxa"/>
                      </w:tcPr>
                      <w:p>
                        <w:pPr>
                          <w:pStyle w:val="TableParagraph"/>
                          <w:spacing w:line="294" w:lineRule="exact"/>
                          <w:ind w:left="239" w:right="227"/>
                          <w:jc w:val="center"/>
                          <w:rPr>
                            <w:sz w:val="21"/>
                          </w:rPr>
                        </w:pPr>
                        <w:r>
                          <w:rPr>
                            <w:sz w:val="21"/>
                          </w:rPr>
                          <w:t>环保设施项目</w:t>
                        </w:r>
                      </w:p>
                    </w:tc>
                    <w:tc>
                      <w:tcPr>
                        <w:tcW w:w="1560" w:type="dxa"/>
                      </w:tcPr>
                      <w:p>
                        <w:pPr>
                          <w:pStyle w:val="TableParagraph"/>
                          <w:spacing w:line="294" w:lineRule="exact"/>
                          <w:ind w:left="129" w:right="120"/>
                          <w:jc w:val="center"/>
                          <w:rPr>
                            <w:sz w:val="21"/>
                          </w:rPr>
                        </w:pPr>
                        <w:r>
                          <w:rPr>
                            <w:sz w:val="21"/>
                          </w:rPr>
                          <w:t>投资（万元）</w:t>
                        </w:r>
                      </w:p>
                    </w:tc>
                  </w:tr>
                  <w:tr>
                    <w:trPr>
                      <w:trHeight w:val="311" w:hRule="atLeast"/>
                    </w:trPr>
                    <w:tc>
                      <w:tcPr>
                        <w:tcW w:w="672" w:type="dxa"/>
                      </w:tcPr>
                      <w:p>
                        <w:pPr>
                          <w:pStyle w:val="TableParagraph"/>
                          <w:spacing w:line="292" w:lineRule="exact"/>
                          <w:ind w:left="124"/>
                          <w:rPr>
                            <w:sz w:val="21"/>
                          </w:rPr>
                        </w:pPr>
                        <w:r>
                          <w:rPr>
                            <w:sz w:val="21"/>
                          </w:rPr>
                          <w:t>废气</w:t>
                        </w:r>
                      </w:p>
                    </w:tc>
                    <w:tc>
                      <w:tcPr>
                        <w:tcW w:w="5840" w:type="dxa"/>
                      </w:tcPr>
                      <w:p>
                        <w:pPr>
                          <w:pStyle w:val="TableParagraph"/>
                          <w:spacing w:line="292" w:lineRule="exact"/>
                          <w:ind w:left="242" w:right="227"/>
                          <w:jc w:val="center"/>
                          <w:rPr>
                            <w:rFonts w:ascii="Times New Roman" w:eastAsia="Times New Roman"/>
                            <w:sz w:val="21"/>
                          </w:rPr>
                        </w:pPr>
                        <w:r>
                          <w:rPr>
                            <w:sz w:val="21"/>
                          </w:rPr>
                          <w:t>施工期的防尘措施（包括施工围墙、覆盖帆布、防尘网等</w:t>
                        </w:r>
                        <w:r>
                          <w:rPr>
                            <w:rFonts w:ascii="Times New Roman" w:eastAsia="Times New Roman"/>
                            <w:sz w:val="21"/>
                          </w:rPr>
                          <w:t>)</w:t>
                        </w:r>
                      </w:p>
                    </w:tc>
                    <w:tc>
                      <w:tcPr>
                        <w:tcW w:w="1560" w:type="dxa"/>
                      </w:tcPr>
                      <w:p>
                        <w:pPr>
                          <w:pStyle w:val="TableParagraph"/>
                          <w:spacing w:before="34"/>
                          <w:ind w:left="129" w:right="119"/>
                          <w:jc w:val="center"/>
                          <w:rPr>
                            <w:rFonts w:ascii="Times New Roman"/>
                            <w:sz w:val="21"/>
                          </w:rPr>
                        </w:pPr>
                        <w:r>
                          <w:rPr>
                            <w:rFonts w:ascii="Times New Roman"/>
                            <w:sz w:val="21"/>
                          </w:rPr>
                          <w:t>10.00</w:t>
                        </w:r>
                      </w:p>
                    </w:tc>
                  </w:tr>
                  <w:tr>
                    <w:trPr>
                      <w:trHeight w:val="311" w:hRule="atLeast"/>
                    </w:trPr>
                    <w:tc>
                      <w:tcPr>
                        <w:tcW w:w="672" w:type="dxa"/>
                        <w:vMerge w:val="restart"/>
                      </w:tcPr>
                      <w:p>
                        <w:pPr>
                          <w:pStyle w:val="TableParagraph"/>
                          <w:spacing w:before="82"/>
                          <w:ind w:left="124"/>
                          <w:rPr>
                            <w:sz w:val="21"/>
                          </w:rPr>
                        </w:pPr>
                        <w:r>
                          <w:rPr>
                            <w:sz w:val="21"/>
                          </w:rPr>
                          <w:t>废水</w:t>
                        </w:r>
                      </w:p>
                    </w:tc>
                    <w:tc>
                      <w:tcPr>
                        <w:tcW w:w="5840" w:type="dxa"/>
                      </w:tcPr>
                      <w:p>
                        <w:pPr>
                          <w:pStyle w:val="TableParagraph"/>
                          <w:spacing w:line="292" w:lineRule="exact"/>
                          <w:ind w:left="238" w:right="227"/>
                          <w:jc w:val="center"/>
                          <w:rPr>
                            <w:sz w:val="21"/>
                          </w:rPr>
                        </w:pPr>
                        <w:r>
                          <w:rPr>
                            <w:sz w:val="21"/>
                          </w:rPr>
                          <w:t>施工期临时隔油池、化粪池、沉淀池</w:t>
                        </w:r>
                      </w:p>
                    </w:tc>
                    <w:tc>
                      <w:tcPr>
                        <w:tcW w:w="1560" w:type="dxa"/>
                      </w:tcPr>
                      <w:p>
                        <w:pPr>
                          <w:pStyle w:val="TableParagraph"/>
                          <w:spacing w:before="34"/>
                          <w:ind w:left="128" w:right="120"/>
                          <w:jc w:val="center"/>
                          <w:rPr>
                            <w:rFonts w:ascii="Times New Roman"/>
                            <w:sz w:val="21"/>
                          </w:rPr>
                        </w:pPr>
                        <w:r>
                          <w:rPr>
                            <w:rFonts w:ascii="Times New Roman"/>
                            <w:sz w:val="21"/>
                          </w:rPr>
                          <w:t>11.00</w:t>
                        </w:r>
                      </w:p>
                    </w:tc>
                  </w:tr>
                  <w:tr>
                    <w:trPr>
                      <w:trHeight w:val="311" w:hRule="atLeast"/>
                    </w:trPr>
                    <w:tc>
                      <w:tcPr>
                        <w:tcW w:w="672" w:type="dxa"/>
                        <w:vMerge/>
                        <w:tcBorders>
                          <w:top w:val="nil"/>
                        </w:tcBorders>
                      </w:tcPr>
                      <w:p>
                        <w:pPr>
                          <w:rPr>
                            <w:sz w:val="2"/>
                            <w:szCs w:val="2"/>
                          </w:rPr>
                        </w:pPr>
                      </w:p>
                    </w:tc>
                    <w:tc>
                      <w:tcPr>
                        <w:tcW w:w="5840" w:type="dxa"/>
                      </w:tcPr>
                      <w:p>
                        <w:pPr>
                          <w:pStyle w:val="TableParagraph"/>
                          <w:spacing w:line="292" w:lineRule="exact"/>
                          <w:ind w:left="240" w:right="227"/>
                          <w:jc w:val="center"/>
                          <w:rPr>
                            <w:sz w:val="21"/>
                          </w:rPr>
                        </w:pPr>
                        <w:r>
                          <w:rPr>
                            <w:sz w:val="21"/>
                          </w:rPr>
                          <w:t>营运期污水管道和雨水管铺设、化粪池等</w:t>
                        </w:r>
                      </w:p>
                    </w:tc>
                    <w:tc>
                      <w:tcPr>
                        <w:tcW w:w="1560" w:type="dxa"/>
                      </w:tcPr>
                      <w:p>
                        <w:pPr>
                          <w:pStyle w:val="TableParagraph"/>
                          <w:spacing w:before="34"/>
                          <w:ind w:left="129" w:right="119"/>
                          <w:jc w:val="center"/>
                          <w:rPr>
                            <w:rFonts w:ascii="Times New Roman"/>
                            <w:sz w:val="21"/>
                          </w:rPr>
                        </w:pPr>
                        <w:r>
                          <w:rPr>
                            <w:rFonts w:ascii="Times New Roman"/>
                            <w:sz w:val="21"/>
                          </w:rPr>
                          <w:t>20.79</w:t>
                        </w:r>
                      </w:p>
                    </w:tc>
                  </w:tr>
                  <w:tr>
                    <w:trPr>
                      <w:trHeight w:val="312" w:hRule="atLeast"/>
                    </w:trPr>
                    <w:tc>
                      <w:tcPr>
                        <w:tcW w:w="672" w:type="dxa"/>
                      </w:tcPr>
                      <w:p>
                        <w:pPr>
                          <w:pStyle w:val="TableParagraph"/>
                          <w:spacing w:line="292" w:lineRule="exact"/>
                          <w:ind w:left="124"/>
                          <w:rPr>
                            <w:sz w:val="21"/>
                          </w:rPr>
                        </w:pPr>
                        <w:r>
                          <w:rPr>
                            <w:sz w:val="21"/>
                          </w:rPr>
                          <w:t>噪声</w:t>
                        </w:r>
                      </w:p>
                    </w:tc>
                    <w:tc>
                      <w:tcPr>
                        <w:tcW w:w="5840" w:type="dxa"/>
                      </w:tcPr>
                      <w:p>
                        <w:pPr>
                          <w:pStyle w:val="TableParagraph"/>
                          <w:spacing w:line="292" w:lineRule="exact"/>
                          <w:ind w:left="239" w:right="227"/>
                          <w:jc w:val="center"/>
                          <w:rPr>
                            <w:sz w:val="21"/>
                          </w:rPr>
                        </w:pPr>
                        <w:r>
                          <w:rPr>
                            <w:sz w:val="21"/>
                          </w:rPr>
                          <w:t>运行设备隔振、吸声处理</w:t>
                        </w:r>
                      </w:p>
                    </w:tc>
                    <w:tc>
                      <w:tcPr>
                        <w:tcW w:w="1560" w:type="dxa"/>
                      </w:tcPr>
                      <w:p>
                        <w:pPr>
                          <w:pStyle w:val="TableParagraph"/>
                          <w:spacing w:before="34"/>
                          <w:ind w:left="129" w:right="119"/>
                          <w:jc w:val="center"/>
                          <w:rPr>
                            <w:rFonts w:ascii="Times New Roman"/>
                            <w:sz w:val="21"/>
                          </w:rPr>
                        </w:pPr>
                        <w:r>
                          <w:rPr>
                            <w:rFonts w:ascii="Times New Roman"/>
                            <w:sz w:val="21"/>
                          </w:rPr>
                          <w:t>32.16</w:t>
                        </w:r>
                      </w:p>
                    </w:tc>
                  </w:tr>
                  <w:tr>
                    <w:trPr>
                      <w:trHeight w:val="311" w:hRule="atLeast"/>
                    </w:trPr>
                    <w:tc>
                      <w:tcPr>
                        <w:tcW w:w="672" w:type="dxa"/>
                      </w:tcPr>
                      <w:p>
                        <w:pPr>
                          <w:pStyle w:val="TableParagraph"/>
                          <w:spacing w:line="292" w:lineRule="exact"/>
                          <w:ind w:left="124"/>
                          <w:rPr>
                            <w:sz w:val="21"/>
                          </w:rPr>
                        </w:pPr>
                        <w:r>
                          <w:rPr>
                            <w:sz w:val="21"/>
                          </w:rPr>
                          <w:t>固废</w:t>
                        </w:r>
                      </w:p>
                    </w:tc>
                    <w:tc>
                      <w:tcPr>
                        <w:tcW w:w="5840" w:type="dxa"/>
                      </w:tcPr>
                      <w:p>
                        <w:pPr>
                          <w:pStyle w:val="TableParagraph"/>
                          <w:spacing w:line="292" w:lineRule="exact"/>
                          <w:ind w:left="241" w:right="227"/>
                          <w:jc w:val="center"/>
                          <w:rPr>
                            <w:sz w:val="21"/>
                          </w:rPr>
                        </w:pPr>
                        <w:r>
                          <w:rPr>
                            <w:sz w:val="21"/>
                          </w:rPr>
                          <w:t>渣土外运等</w:t>
                        </w:r>
                      </w:p>
                    </w:tc>
                    <w:tc>
                      <w:tcPr>
                        <w:tcW w:w="1560" w:type="dxa"/>
                      </w:tcPr>
                      <w:p>
                        <w:pPr>
                          <w:pStyle w:val="TableParagraph"/>
                          <w:spacing w:before="34"/>
                          <w:ind w:left="129" w:right="120"/>
                          <w:jc w:val="center"/>
                          <w:rPr>
                            <w:rFonts w:ascii="Times New Roman"/>
                            <w:sz w:val="21"/>
                          </w:rPr>
                        </w:pPr>
                        <w:r>
                          <w:rPr>
                            <w:rFonts w:ascii="Times New Roman"/>
                            <w:sz w:val="21"/>
                          </w:rPr>
                          <w:t>238.84</w:t>
                        </w:r>
                      </w:p>
                    </w:tc>
                  </w:tr>
                  <w:tr>
                    <w:trPr>
                      <w:trHeight w:val="313" w:hRule="atLeast"/>
                    </w:trPr>
                    <w:tc>
                      <w:tcPr>
                        <w:tcW w:w="6512" w:type="dxa"/>
                        <w:gridSpan w:val="2"/>
                      </w:tcPr>
                      <w:p>
                        <w:pPr>
                          <w:pStyle w:val="TableParagraph"/>
                          <w:spacing w:line="294" w:lineRule="exact"/>
                          <w:ind w:left="2607" w:right="2595"/>
                          <w:jc w:val="center"/>
                          <w:rPr>
                            <w:sz w:val="21"/>
                          </w:rPr>
                        </w:pPr>
                        <w:r>
                          <w:rPr>
                            <w:sz w:val="21"/>
                          </w:rPr>
                          <w:t>小区景观绿化</w:t>
                        </w:r>
                      </w:p>
                    </w:tc>
                    <w:tc>
                      <w:tcPr>
                        <w:tcW w:w="1560" w:type="dxa"/>
                      </w:tcPr>
                      <w:p>
                        <w:pPr>
                          <w:pStyle w:val="TableParagraph"/>
                          <w:spacing w:before="36"/>
                          <w:ind w:left="129" w:right="119"/>
                          <w:jc w:val="center"/>
                          <w:rPr>
                            <w:rFonts w:ascii="Times New Roman"/>
                            <w:sz w:val="21"/>
                          </w:rPr>
                        </w:pPr>
                        <w:r>
                          <w:rPr>
                            <w:rFonts w:ascii="Times New Roman"/>
                            <w:sz w:val="21"/>
                          </w:rPr>
                          <w:t>214.33</w:t>
                        </w:r>
                      </w:p>
                    </w:tc>
                  </w:tr>
                  <w:tr>
                    <w:trPr>
                      <w:trHeight w:val="311" w:hRule="atLeast"/>
                    </w:trPr>
                    <w:tc>
                      <w:tcPr>
                        <w:tcW w:w="6512" w:type="dxa"/>
                        <w:gridSpan w:val="2"/>
                      </w:tcPr>
                      <w:p>
                        <w:pPr>
                          <w:pStyle w:val="TableParagraph"/>
                          <w:spacing w:line="292" w:lineRule="exact"/>
                          <w:ind w:left="2607" w:right="2595"/>
                          <w:jc w:val="center"/>
                          <w:rPr>
                            <w:sz w:val="21"/>
                          </w:rPr>
                        </w:pPr>
                        <w:r>
                          <w:rPr>
                            <w:sz w:val="21"/>
                          </w:rPr>
                          <w:t>合计</w:t>
                        </w:r>
                      </w:p>
                    </w:tc>
                    <w:tc>
                      <w:tcPr>
                        <w:tcW w:w="1560" w:type="dxa"/>
                      </w:tcPr>
                      <w:p>
                        <w:pPr>
                          <w:pStyle w:val="TableParagraph"/>
                          <w:spacing w:before="34"/>
                          <w:ind w:left="129" w:right="119"/>
                          <w:jc w:val="center"/>
                          <w:rPr>
                            <w:rFonts w:ascii="Times New Roman"/>
                            <w:sz w:val="21"/>
                          </w:rPr>
                        </w:pPr>
                        <w:r>
                          <w:rPr>
                            <w:rFonts w:ascii="Times New Roman"/>
                            <w:sz w:val="21"/>
                          </w:rPr>
                          <w:t>527.12</w:t>
                        </w:r>
                      </w:p>
                    </w:tc>
                  </w:tr>
                </w:tbl>
                <w:p>
                  <w:pPr>
                    <w:pStyle w:val="BodyText"/>
                  </w:pPr>
                </w:p>
              </w:txbxContent>
            </v:textbox>
            <w10:wrap type="none"/>
          </v:shape>
        </w:pict>
      </w:r>
    </w:p>
    <w:p>
      <w:pPr>
        <w:spacing w:after="0"/>
        <w:rPr>
          <w:sz w:val="2"/>
          <w:szCs w:val="2"/>
        </w:rPr>
        <w:sectPr>
          <w:pgSz w:w="11910" w:h="16840"/>
          <w:pgMar w:header="877" w:footer="1146" w:top="1420" w:bottom="1340" w:left="1200" w:right="1340"/>
        </w:sectPr>
      </w:pP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6"/>
        <w:gridCol w:w="4059"/>
        <w:gridCol w:w="4239"/>
        <w:gridCol w:w="386"/>
      </w:tblGrid>
      <w:tr>
        <w:trPr>
          <w:trHeight w:val="8425" w:hRule="atLeast"/>
        </w:trPr>
        <w:tc>
          <w:tcPr>
            <w:tcW w:w="386" w:type="dxa"/>
            <w:vMerge w:val="restart"/>
            <w:tcBorders>
              <w:top w:val="nil"/>
              <w:left w:val="nil"/>
            </w:tcBorders>
          </w:tcPr>
          <w:p>
            <w:pPr>
              <w:pStyle w:val="TableParagraph"/>
              <w:rPr>
                <w:rFonts w:ascii="Times New Roman"/>
                <w:sz w:val="20"/>
              </w:rPr>
            </w:pPr>
          </w:p>
        </w:tc>
        <w:tc>
          <w:tcPr>
            <w:tcW w:w="8298" w:type="dxa"/>
            <w:gridSpan w:val="2"/>
          </w:tcPr>
          <w:p>
            <w:pPr>
              <w:pStyle w:val="TableParagraph"/>
              <w:spacing w:line="252" w:lineRule="auto"/>
              <w:ind w:left="108" w:right="93"/>
              <w:jc w:val="both"/>
              <w:rPr>
                <w:sz w:val="21"/>
              </w:rPr>
            </w:pPr>
            <w:r>
              <w:rPr>
                <w:spacing w:val="-9"/>
                <w:sz w:val="21"/>
              </w:rPr>
              <w:t>物排放标准》</w:t>
            </w:r>
            <w:r>
              <w:rPr>
                <w:spacing w:val="-3"/>
                <w:sz w:val="21"/>
              </w:rPr>
              <w:t>（</w:t>
            </w:r>
            <w:r>
              <w:rPr>
                <w:rFonts w:ascii="Times New Roman" w:eastAsia="Times New Roman"/>
                <w:spacing w:val="-3"/>
                <w:sz w:val="21"/>
              </w:rPr>
              <w:t>GB18918-2002</w:t>
            </w:r>
            <w:r>
              <w:rPr>
                <w:spacing w:val="-3"/>
                <w:sz w:val="21"/>
              </w:rPr>
              <w:t>）</w:t>
            </w:r>
            <w:r>
              <w:rPr>
                <w:spacing w:val="-2"/>
                <w:sz w:val="21"/>
              </w:rPr>
              <w:t>一级</w:t>
            </w:r>
            <w:r>
              <w:rPr>
                <w:rFonts w:ascii="Times New Roman" w:eastAsia="Times New Roman"/>
                <w:sz w:val="21"/>
              </w:rPr>
              <w:t>A</w:t>
            </w:r>
            <w:r>
              <w:rPr>
                <w:spacing w:val="-7"/>
                <w:sz w:val="21"/>
              </w:rPr>
              <w:t>标准后排放；生活垃圾委托环卫部门统一清运，对生态环境的影响可控制在允许的范围内。博物馆建成后，可通过绿化等措施，改善区域</w:t>
            </w:r>
            <w:r>
              <w:rPr>
                <w:spacing w:val="-4"/>
                <w:sz w:val="21"/>
              </w:rPr>
              <w:t>生态环境。</w:t>
            </w:r>
          </w:p>
          <w:p>
            <w:pPr>
              <w:pStyle w:val="TableParagraph"/>
              <w:ind w:left="108"/>
              <w:jc w:val="both"/>
              <w:rPr>
                <w:sz w:val="21"/>
              </w:rPr>
            </w:pPr>
            <w:r>
              <w:rPr>
                <w:spacing w:val="-1"/>
                <w:sz w:val="21"/>
              </w:rPr>
              <w:t>二、运行期</w:t>
            </w:r>
          </w:p>
          <w:p>
            <w:pPr>
              <w:pStyle w:val="TableParagraph"/>
              <w:spacing w:before="23"/>
              <w:ind w:left="108"/>
              <w:jc w:val="both"/>
              <w:rPr>
                <w:sz w:val="21"/>
              </w:rPr>
            </w:pPr>
            <w:r>
              <w:rPr>
                <w:sz w:val="21"/>
              </w:rPr>
              <w:t>（</w:t>
            </w:r>
            <w:r>
              <w:rPr>
                <w:rFonts w:ascii="Times New Roman" w:eastAsia="Times New Roman"/>
                <w:sz w:val="21"/>
              </w:rPr>
              <w:t>1</w:t>
            </w:r>
            <w:r>
              <w:rPr>
                <w:sz w:val="21"/>
              </w:rPr>
              <w:t>）废气</w:t>
            </w:r>
          </w:p>
          <w:p>
            <w:pPr>
              <w:pStyle w:val="TableParagraph"/>
              <w:spacing w:before="23"/>
              <w:ind w:left="108"/>
              <w:jc w:val="both"/>
              <w:rPr>
                <w:sz w:val="21"/>
              </w:rPr>
            </w:pPr>
            <w:r>
              <w:rPr>
                <w:sz w:val="21"/>
              </w:rPr>
              <w:t>本项目排放的废气主要为公共卫生间、垃圾收集点产生的少量恶臭。</w:t>
            </w:r>
          </w:p>
          <w:p>
            <w:pPr>
              <w:pStyle w:val="TableParagraph"/>
              <w:spacing w:before="23"/>
              <w:ind w:left="108"/>
              <w:jc w:val="both"/>
              <w:rPr>
                <w:sz w:val="21"/>
              </w:rPr>
            </w:pPr>
            <w:r>
              <w:rPr>
                <w:sz w:val="21"/>
              </w:rPr>
              <w:t>（</w:t>
            </w:r>
            <w:r>
              <w:rPr>
                <w:rFonts w:ascii="Times New Roman" w:eastAsia="Times New Roman"/>
                <w:sz w:val="21"/>
              </w:rPr>
              <w:t>2</w:t>
            </w:r>
            <w:r>
              <w:rPr>
                <w:sz w:val="21"/>
              </w:rPr>
              <w:t>）废水</w:t>
            </w:r>
          </w:p>
          <w:p>
            <w:pPr>
              <w:pStyle w:val="TableParagraph"/>
              <w:spacing w:before="23"/>
              <w:ind w:left="108"/>
              <w:jc w:val="both"/>
              <w:rPr>
                <w:sz w:val="21"/>
              </w:rPr>
            </w:pPr>
            <w:r>
              <w:rPr>
                <w:sz w:val="21"/>
              </w:rPr>
              <w:t>本项目废水主要为公共卫生间产生的生活污水。</w:t>
            </w:r>
          </w:p>
          <w:p>
            <w:pPr>
              <w:pStyle w:val="TableParagraph"/>
              <w:spacing w:before="23"/>
              <w:ind w:left="108"/>
              <w:jc w:val="both"/>
              <w:rPr>
                <w:sz w:val="21"/>
              </w:rPr>
            </w:pPr>
            <w:r>
              <w:rPr>
                <w:sz w:val="21"/>
              </w:rPr>
              <w:t>（</w:t>
            </w:r>
            <w:r>
              <w:rPr>
                <w:rFonts w:ascii="Times New Roman" w:eastAsia="Times New Roman"/>
                <w:sz w:val="21"/>
              </w:rPr>
              <w:t>3</w:t>
            </w:r>
            <w:r>
              <w:rPr>
                <w:sz w:val="21"/>
              </w:rPr>
              <w:t>）噪声</w:t>
            </w:r>
          </w:p>
          <w:p>
            <w:pPr>
              <w:pStyle w:val="TableParagraph"/>
              <w:spacing w:line="252" w:lineRule="auto" w:before="23"/>
              <w:ind w:left="108" w:right="101"/>
              <w:rPr>
                <w:sz w:val="21"/>
              </w:rPr>
            </w:pPr>
            <w:r>
              <w:rPr>
                <w:sz w:val="21"/>
              </w:rPr>
              <w:t>与本项目有关的噪声源包括两部分，其一是外界声环境对本项目的影响；其二是本项目内部声源对项目本身敏感建筑的影响。</w:t>
            </w:r>
          </w:p>
          <w:p>
            <w:pPr>
              <w:pStyle w:val="TableParagraph"/>
              <w:spacing w:before="1"/>
              <w:ind w:left="108"/>
              <w:jc w:val="both"/>
              <w:rPr>
                <w:sz w:val="21"/>
              </w:rPr>
            </w:pPr>
            <w:r>
              <w:rPr>
                <w:sz w:val="21"/>
              </w:rPr>
              <w:t>① 外环境交通噪声源</w:t>
            </w:r>
          </w:p>
          <w:p>
            <w:pPr>
              <w:pStyle w:val="TableParagraph"/>
              <w:spacing w:before="23"/>
              <w:ind w:left="108"/>
              <w:jc w:val="both"/>
              <w:rPr>
                <w:sz w:val="21"/>
              </w:rPr>
            </w:pPr>
            <w:r>
              <w:rPr>
                <w:sz w:val="21"/>
              </w:rPr>
              <w:t>项目四侧交通噪声不可避免，为本项目主要噪声影响因素之一。</w:t>
            </w:r>
          </w:p>
          <w:p>
            <w:pPr>
              <w:pStyle w:val="TableParagraph"/>
              <w:spacing w:before="22"/>
              <w:ind w:left="108"/>
              <w:jc w:val="both"/>
              <w:rPr>
                <w:sz w:val="21"/>
              </w:rPr>
            </w:pPr>
            <w:r>
              <w:rPr>
                <w:sz w:val="21"/>
              </w:rPr>
              <w:t>② 内部环境噪声源</w:t>
            </w:r>
          </w:p>
          <w:p>
            <w:pPr>
              <w:pStyle w:val="TableParagraph"/>
              <w:spacing w:before="24"/>
              <w:ind w:left="108"/>
              <w:jc w:val="both"/>
              <w:rPr>
                <w:sz w:val="21"/>
              </w:rPr>
            </w:pPr>
            <w:r>
              <w:rPr>
                <w:sz w:val="21"/>
              </w:rPr>
              <w:t>本项目噪声主要来自空调机房、配电房、电梯机房、风机等设备噪声。</w:t>
            </w:r>
          </w:p>
          <w:p>
            <w:pPr>
              <w:pStyle w:val="TableParagraph"/>
              <w:spacing w:before="22"/>
              <w:ind w:left="108"/>
              <w:jc w:val="both"/>
              <w:rPr>
                <w:sz w:val="21"/>
              </w:rPr>
            </w:pPr>
            <w:r>
              <w:rPr>
                <w:sz w:val="21"/>
              </w:rPr>
              <w:t>（</w:t>
            </w:r>
            <w:r>
              <w:rPr>
                <w:rFonts w:ascii="Times New Roman" w:eastAsia="Times New Roman"/>
                <w:sz w:val="21"/>
              </w:rPr>
              <w:t>4</w:t>
            </w:r>
            <w:r>
              <w:rPr>
                <w:sz w:val="21"/>
              </w:rPr>
              <w:t>）固废</w:t>
            </w:r>
          </w:p>
          <w:p>
            <w:pPr>
              <w:pStyle w:val="TableParagraph"/>
              <w:spacing w:before="23"/>
              <w:ind w:left="108"/>
              <w:jc w:val="both"/>
              <w:rPr>
                <w:sz w:val="21"/>
              </w:rPr>
            </w:pPr>
            <w:r>
              <w:rPr>
                <w:sz w:val="21"/>
              </w:rPr>
              <w:t>生活垃圾主要来源于博物馆的参观人员和工作人员。</w:t>
            </w:r>
          </w:p>
        </w:tc>
        <w:tc>
          <w:tcPr>
            <w:tcW w:w="386" w:type="dxa"/>
            <w:vMerge w:val="restart"/>
            <w:tcBorders>
              <w:top w:val="nil"/>
              <w:right w:val="nil"/>
            </w:tcBorders>
          </w:tcPr>
          <w:p>
            <w:pPr>
              <w:pStyle w:val="TableParagraph"/>
              <w:rPr>
                <w:rFonts w:ascii="Times New Roman"/>
                <w:sz w:val="20"/>
              </w:rPr>
            </w:pPr>
          </w:p>
        </w:tc>
      </w:tr>
      <w:tr>
        <w:trPr>
          <w:trHeight w:val="438" w:hRule="atLeast"/>
        </w:trPr>
        <w:tc>
          <w:tcPr>
            <w:tcW w:w="386" w:type="dxa"/>
            <w:vMerge/>
            <w:tcBorders>
              <w:top w:val="nil"/>
              <w:left w:val="nil"/>
            </w:tcBorders>
          </w:tcPr>
          <w:p>
            <w:pPr>
              <w:rPr>
                <w:sz w:val="2"/>
                <w:szCs w:val="2"/>
              </w:rPr>
            </w:pPr>
          </w:p>
        </w:tc>
        <w:tc>
          <w:tcPr>
            <w:tcW w:w="8298" w:type="dxa"/>
            <w:gridSpan w:val="2"/>
          </w:tcPr>
          <w:p>
            <w:pPr>
              <w:pStyle w:val="TableParagraph"/>
              <w:rPr>
                <w:rFonts w:ascii="Times New Roman"/>
                <w:sz w:val="20"/>
              </w:rPr>
            </w:pPr>
          </w:p>
        </w:tc>
        <w:tc>
          <w:tcPr>
            <w:tcW w:w="386" w:type="dxa"/>
            <w:vMerge/>
            <w:tcBorders>
              <w:top w:val="nil"/>
              <w:right w:val="nil"/>
            </w:tcBorders>
          </w:tcPr>
          <w:p>
            <w:pPr>
              <w:rPr>
                <w:sz w:val="2"/>
                <w:szCs w:val="2"/>
              </w:rPr>
            </w:pPr>
          </w:p>
        </w:tc>
      </w:tr>
      <w:tr>
        <w:trPr>
          <w:trHeight w:val="3180" w:hRule="atLeast"/>
        </w:trPr>
        <w:tc>
          <w:tcPr>
            <w:tcW w:w="386" w:type="dxa"/>
          </w:tcPr>
          <w:p>
            <w:pPr>
              <w:pStyle w:val="TableParagraph"/>
              <w:rPr>
                <w:rFonts w:ascii="Times New Roman"/>
                <w:sz w:val="20"/>
              </w:rPr>
            </w:pPr>
          </w:p>
        </w:tc>
        <w:tc>
          <w:tcPr>
            <w:tcW w:w="4059" w:type="dxa"/>
          </w:tcPr>
          <w:p>
            <w:pPr>
              <w:pStyle w:val="TableParagraph"/>
              <w:rPr>
                <w:rFonts w:ascii="Times New Roman"/>
                <w:sz w:val="20"/>
              </w:rPr>
            </w:pPr>
          </w:p>
        </w:tc>
        <w:tc>
          <w:tcPr>
            <w:tcW w:w="4239" w:type="dxa"/>
          </w:tcPr>
          <w:p>
            <w:pPr>
              <w:pStyle w:val="TableParagraph"/>
              <w:spacing w:before="4"/>
              <w:rPr>
                <w:sz w:val="4"/>
              </w:rPr>
            </w:pPr>
          </w:p>
          <w:p>
            <w:pPr>
              <w:pStyle w:val="TableParagraph"/>
              <w:ind w:left="1166"/>
              <w:rPr>
                <w:sz w:val="20"/>
              </w:rPr>
            </w:pPr>
            <w:r>
              <w:rPr>
                <w:sz w:val="20"/>
              </w:rPr>
              <w:drawing>
                <wp:inline distT="0" distB="0" distL="0" distR="0">
                  <wp:extent cx="1453681" cy="1938242"/>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453681" cy="1938242"/>
                          </a:xfrm>
                          <a:prstGeom prst="rect">
                            <a:avLst/>
                          </a:prstGeom>
                        </pic:spPr>
                      </pic:pic>
                    </a:graphicData>
                  </a:graphic>
                </wp:inline>
              </w:drawing>
            </w:r>
            <w:r>
              <w:rPr>
                <w:sz w:val="20"/>
              </w:rPr>
            </w:r>
          </w:p>
        </w:tc>
        <w:tc>
          <w:tcPr>
            <w:tcW w:w="386" w:type="dxa"/>
          </w:tcPr>
          <w:p>
            <w:pPr>
              <w:pStyle w:val="TableParagraph"/>
              <w:rPr>
                <w:rFonts w:ascii="Times New Roman"/>
                <w:sz w:val="20"/>
              </w:rPr>
            </w:pPr>
          </w:p>
        </w:tc>
      </w:tr>
      <w:tr>
        <w:trPr>
          <w:trHeight w:val="506" w:hRule="atLeast"/>
        </w:trPr>
        <w:tc>
          <w:tcPr>
            <w:tcW w:w="386" w:type="dxa"/>
          </w:tcPr>
          <w:p>
            <w:pPr>
              <w:pStyle w:val="TableParagraph"/>
              <w:rPr>
                <w:rFonts w:ascii="Times New Roman"/>
                <w:sz w:val="20"/>
              </w:rPr>
            </w:pPr>
          </w:p>
        </w:tc>
        <w:tc>
          <w:tcPr>
            <w:tcW w:w="4059" w:type="dxa"/>
          </w:tcPr>
          <w:p>
            <w:pPr>
              <w:pStyle w:val="TableParagraph"/>
              <w:spacing w:line="437" w:lineRule="exact" w:before="49"/>
              <w:ind w:left="890"/>
              <w:rPr>
                <w:sz w:val="21"/>
              </w:rPr>
            </w:pPr>
            <w:r>
              <w:rPr>
                <w:sz w:val="21"/>
              </w:rPr>
              <w:t>项目博物馆完工建筑</w:t>
            </w:r>
          </w:p>
        </w:tc>
        <w:tc>
          <w:tcPr>
            <w:tcW w:w="4239" w:type="dxa"/>
          </w:tcPr>
          <w:p>
            <w:pPr>
              <w:pStyle w:val="TableParagraph"/>
              <w:spacing w:line="437" w:lineRule="exact" w:before="49"/>
              <w:ind w:left="1786"/>
              <w:rPr>
                <w:sz w:val="21"/>
              </w:rPr>
            </w:pPr>
            <w:r>
              <w:rPr>
                <w:sz w:val="21"/>
              </w:rPr>
              <w:t>风机房软接</w:t>
            </w:r>
          </w:p>
        </w:tc>
        <w:tc>
          <w:tcPr>
            <w:tcW w:w="386" w:type="dxa"/>
          </w:tcPr>
          <w:p>
            <w:pPr>
              <w:pStyle w:val="TableParagraph"/>
              <w:rPr>
                <w:rFonts w:ascii="Times New Roman"/>
                <w:sz w:val="20"/>
              </w:rPr>
            </w:pPr>
          </w:p>
        </w:tc>
      </w:tr>
      <w:tr>
        <w:trPr>
          <w:trHeight w:val="438" w:hRule="atLeast"/>
        </w:trPr>
        <w:tc>
          <w:tcPr>
            <w:tcW w:w="386" w:type="dxa"/>
            <w:tcBorders>
              <w:left w:val="nil"/>
              <w:bottom w:val="nil"/>
            </w:tcBorders>
          </w:tcPr>
          <w:p>
            <w:pPr>
              <w:pStyle w:val="TableParagraph"/>
              <w:rPr>
                <w:rFonts w:ascii="Times New Roman"/>
                <w:sz w:val="20"/>
              </w:rPr>
            </w:pPr>
          </w:p>
        </w:tc>
        <w:tc>
          <w:tcPr>
            <w:tcW w:w="8298" w:type="dxa"/>
            <w:gridSpan w:val="2"/>
          </w:tcPr>
          <w:p>
            <w:pPr>
              <w:pStyle w:val="TableParagraph"/>
              <w:rPr>
                <w:rFonts w:ascii="Times New Roman"/>
                <w:sz w:val="20"/>
              </w:rPr>
            </w:pPr>
          </w:p>
        </w:tc>
        <w:tc>
          <w:tcPr>
            <w:tcW w:w="386" w:type="dxa"/>
            <w:tcBorders>
              <w:bottom w:val="nil"/>
              <w:right w:val="nil"/>
            </w:tcBorders>
          </w:tcPr>
          <w:p>
            <w:pPr>
              <w:pStyle w:val="TableParagraph"/>
              <w:rPr>
                <w:rFonts w:ascii="Times New Roman"/>
                <w:sz w:val="20"/>
              </w:rPr>
            </w:pPr>
          </w:p>
        </w:tc>
      </w:tr>
    </w:tbl>
    <w:p>
      <w:pPr>
        <w:rPr>
          <w:sz w:val="2"/>
          <w:szCs w:val="2"/>
        </w:rPr>
      </w:pPr>
      <w:r>
        <w:rPr/>
        <w:drawing>
          <wp:anchor distT="0" distB="0" distL="0" distR="0" allowOverlap="1" layoutInCell="1" locked="0" behindDoc="1" simplePos="0" relativeHeight="268344695">
            <wp:simplePos x="0" y="0"/>
            <wp:positionH relativeFrom="page">
              <wp:posOffset>1021080</wp:posOffset>
            </wp:positionH>
            <wp:positionV relativeFrom="page">
              <wp:posOffset>6903973</wp:posOffset>
            </wp:positionV>
            <wp:extent cx="2454938" cy="1380839"/>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2454938" cy="1380839"/>
                    </a:xfrm>
                    <a:prstGeom prst="rect">
                      <a:avLst/>
                    </a:prstGeom>
                  </pic:spPr>
                </pic:pic>
              </a:graphicData>
            </a:graphic>
          </wp:anchor>
        </w:drawing>
      </w:r>
    </w:p>
    <w:p>
      <w:pPr>
        <w:spacing w:after="0"/>
        <w:rPr>
          <w:sz w:val="2"/>
          <w:szCs w:val="2"/>
        </w:rPr>
        <w:sectPr>
          <w:pgSz w:w="11910" w:h="16840"/>
          <w:pgMar w:header="877" w:footer="1146" w:top="1420" w:bottom="1340" w:left="1200" w:right="1340"/>
        </w:sectPr>
      </w:pP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6"/>
        <w:gridCol w:w="4059"/>
        <w:gridCol w:w="4239"/>
        <w:gridCol w:w="386"/>
      </w:tblGrid>
      <w:tr>
        <w:trPr>
          <w:trHeight w:val="3497" w:hRule="atLeast"/>
        </w:trPr>
        <w:tc>
          <w:tcPr>
            <w:tcW w:w="386" w:type="dxa"/>
          </w:tcPr>
          <w:p>
            <w:pPr>
              <w:pStyle w:val="TableParagraph"/>
              <w:rPr>
                <w:rFonts w:ascii="Times New Roman"/>
                <w:sz w:val="18"/>
              </w:rPr>
            </w:pPr>
          </w:p>
        </w:tc>
        <w:tc>
          <w:tcPr>
            <w:tcW w:w="4059" w:type="dxa"/>
            <w:tcBorders>
              <w:top w:val="single" w:sz="8" w:space="0" w:color="000000"/>
            </w:tcBorders>
          </w:tcPr>
          <w:p>
            <w:pPr>
              <w:pStyle w:val="TableParagraph"/>
              <w:spacing w:before="15"/>
              <w:rPr>
                <w:sz w:val="4"/>
              </w:rPr>
            </w:pPr>
          </w:p>
          <w:p>
            <w:pPr>
              <w:pStyle w:val="TableParagraph"/>
              <w:ind w:left="448"/>
              <w:rPr>
                <w:sz w:val="20"/>
              </w:rPr>
            </w:pPr>
            <w:r>
              <w:rPr>
                <w:sz w:val="20"/>
              </w:rPr>
              <w:drawing>
                <wp:inline distT="0" distB="0" distL="0" distR="0">
                  <wp:extent cx="1792279" cy="2153602"/>
                  <wp:effectExtent l="0" t="0" r="0" b="0"/>
                  <wp:docPr id="5" name="image3.jpeg" descr=""/>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1792279" cy="2153602"/>
                          </a:xfrm>
                          <a:prstGeom prst="rect">
                            <a:avLst/>
                          </a:prstGeom>
                        </pic:spPr>
                      </pic:pic>
                    </a:graphicData>
                  </a:graphic>
                </wp:inline>
              </w:drawing>
            </w:r>
            <w:r>
              <w:rPr>
                <w:sz w:val="20"/>
              </w:rPr>
            </w:r>
          </w:p>
        </w:tc>
        <w:tc>
          <w:tcPr>
            <w:tcW w:w="4239" w:type="dxa"/>
            <w:tcBorders>
              <w:top w:val="single" w:sz="8" w:space="0" w:color="000000"/>
            </w:tcBorders>
          </w:tcPr>
          <w:p>
            <w:pPr>
              <w:pStyle w:val="TableParagraph"/>
              <w:rPr>
                <w:sz w:val="8"/>
              </w:rPr>
            </w:pPr>
          </w:p>
          <w:p>
            <w:pPr>
              <w:pStyle w:val="TableParagraph"/>
              <w:ind w:left="1075"/>
              <w:rPr>
                <w:sz w:val="20"/>
              </w:rPr>
            </w:pPr>
            <w:r>
              <w:rPr>
                <w:sz w:val="20"/>
              </w:rPr>
              <w:drawing>
                <wp:inline distT="0" distB="0" distL="0" distR="0">
                  <wp:extent cx="1585307" cy="2064924"/>
                  <wp:effectExtent l="0" t="0" r="0" b="0"/>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0" cstate="print"/>
                          <a:stretch>
                            <a:fillRect/>
                          </a:stretch>
                        </pic:blipFill>
                        <pic:spPr>
                          <a:xfrm>
                            <a:off x="0" y="0"/>
                            <a:ext cx="1585307" cy="2064924"/>
                          </a:xfrm>
                          <a:prstGeom prst="rect">
                            <a:avLst/>
                          </a:prstGeom>
                        </pic:spPr>
                      </pic:pic>
                    </a:graphicData>
                  </a:graphic>
                </wp:inline>
              </w:drawing>
            </w:r>
            <w:r>
              <w:rPr>
                <w:sz w:val="20"/>
              </w:rPr>
            </w:r>
          </w:p>
        </w:tc>
        <w:tc>
          <w:tcPr>
            <w:tcW w:w="386" w:type="dxa"/>
          </w:tcPr>
          <w:p>
            <w:pPr>
              <w:pStyle w:val="TableParagraph"/>
              <w:rPr>
                <w:rFonts w:ascii="Times New Roman"/>
                <w:sz w:val="18"/>
              </w:rPr>
            </w:pPr>
          </w:p>
        </w:tc>
      </w:tr>
      <w:tr>
        <w:trPr>
          <w:trHeight w:val="505" w:hRule="atLeast"/>
        </w:trPr>
        <w:tc>
          <w:tcPr>
            <w:tcW w:w="386" w:type="dxa"/>
          </w:tcPr>
          <w:p>
            <w:pPr>
              <w:pStyle w:val="TableParagraph"/>
              <w:rPr>
                <w:rFonts w:ascii="Times New Roman"/>
                <w:sz w:val="18"/>
              </w:rPr>
            </w:pPr>
          </w:p>
        </w:tc>
        <w:tc>
          <w:tcPr>
            <w:tcW w:w="4059" w:type="dxa"/>
          </w:tcPr>
          <w:p>
            <w:pPr>
              <w:pStyle w:val="TableParagraph"/>
              <w:spacing w:line="437" w:lineRule="exact" w:before="49"/>
              <w:ind w:left="1207"/>
              <w:rPr>
                <w:sz w:val="21"/>
              </w:rPr>
            </w:pPr>
            <w:r>
              <w:rPr>
                <w:sz w:val="21"/>
              </w:rPr>
              <w:t>消防泵房软接</w:t>
            </w:r>
          </w:p>
        </w:tc>
        <w:tc>
          <w:tcPr>
            <w:tcW w:w="4239" w:type="dxa"/>
          </w:tcPr>
          <w:p>
            <w:pPr>
              <w:pStyle w:val="TableParagraph"/>
              <w:spacing w:line="437" w:lineRule="exact" w:before="49"/>
              <w:ind w:left="1767" w:right="1371"/>
              <w:jc w:val="center"/>
              <w:rPr>
                <w:sz w:val="21"/>
              </w:rPr>
            </w:pPr>
            <w:r>
              <w:rPr>
                <w:sz w:val="21"/>
              </w:rPr>
              <w:t>排污泵软接</w:t>
            </w:r>
          </w:p>
        </w:tc>
        <w:tc>
          <w:tcPr>
            <w:tcW w:w="386" w:type="dxa"/>
          </w:tcPr>
          <w:p>
            <w:pPr>
              <w:pStyle w:val="TableParagraph"/>
              <w:rPr>
                <w:rFonts w:ascii="Times New Roman"/>
                <w:sz w:val="18"/>
              </w:rPr>
            </w:pPr>
          </w:p>
        </w:tc>
      </w:tr>
      <w:tr>
        <w:trPr>
          <w:trHeight w:val="2867" w:hRule="atLeast"/>
        </w:trPr>
        <w:tc>
          <w:tcPr>
            <w:tcW w:w="386" w:type="dxa"/>
          </w:tcPr>
          <w:p>
            <w:pPr>
              <w:pStyle w:val="TableParagraph"/>
              <w:rPr>
                <w:rFonts w:ascii="Times New Roman"/>
                <w:sz w:val="18"/>
              </w:rPr>
            </w:pPr>
          </w:p>
        </w:tc>
        <w:tc>
          <w:tcPr>
            <w:tcW w:w="4059" w:type="dxa"/>
          </w:tcPr>
          <w:p>
            <w:pPr>
              <w:pStyle w:val="TableParagraph"/>
              <w:spacing w:before="18"/>
              <w:rPr>
                <w:sz w:val="10"/>
              </w:rPr>
            </w:pPr>
          </w:p>
          <w:p>
            <w:pPr>
              <w:pStyle w:val="TableParagraph"/>
              <w:ind w:left="185"/>
              <w:rPr>
                <w:sz w:val="20"/>
              </w:rPr>
            </w:pPr>
            <w:r>
              <w:rPr>
                <w:sz w:val="20"/>
              </w:rPr>
              <w:drawing>
                <wp:inline distT="0" distB="0" distL="0" distR="0">
                  <wp:extent cx="2093001" cy="1569910"/>
                  <wp:effectExtent l="0" t="0" r="0" b="0"/>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1" cstate="print"/>
                          <a:stretch>
                            <a:fillRect/>
                          </a:stretch>
                        </pic:blipFill>
                        <pic:spPr>
                          <a:xfrm>
                            <a:off x="0" y="0"/>
                            <a:ext cx="2093001" cy="1569910"/>
                          </a:xfrm>
                          <a:prstGeom prst="rect">
                            <a:avLst/>
                          </a:prstGeom>
                        </pic:spPr>
                      </pic:pic>
                    </a:graphicData>
                  </a:graphic>
                </wp:inline>
              </w:drawing>
            </w:r>
            <w:r>
              <w:rPr>
                <w:sz w:val="20"/>
              </w:rPr>
            </w:r>
          </w:p>
        </w:tc>
        <w:tc>
          <w:tcPr>
            <w:tcW w:w="4239" w:type="dxa"/>
          </w:tcPr>
          <w:p>
            <w:pPr>
              <w:pStyle w:val="TableParagraph"/>
              <w:spacing w:before="3"/>
              <w:rPr>
                <w:sz w:val="8"/>
              </w:rPr>
            </w:pPr>
          </w:p>
          <w:p>
            <w:pPr>
              <w:pStyle w:val="TableParagraph"/>
              <w:ind w:left="599"/>
              <w:rPr>
                <w:sz w:val="20"/>
              </w:rPr>
            </w:pPr>
            <w:r>
              <w:rPr>
                <w:sz w:val="20"/>
              </w:rPr>
              <w:drawing>
                <wp:inline distT="0" distB="0" distL="0" distR="0">
                  <wp:extent cx="2179023" cy="1634204"/>
                  <wp:effectExtent l="0" t="0" r="0" b="0"/>
                  <wp:docPr id="11" name="image6.jpeg" descr=""/>
                  <wp:cNvGraphicFramePr>
                    <a:graphicFrameLocks noChangeAspect="1"/>
                  </wp:cNvGraphicFramePr>
                  <a:graphic>
                    <a:graphicData uri="http://schemas.openxmlformats.org/drawingml/2006/picture">
                      <pic:pic>
                        <pic:nvPicPr>
                          <pic:cNvPr id="12" name="image6.jpeg"/>
                          <pic:cNvPicPr/>
                        </pic:nvPicPr>
                        <pic:blipFill>
                          <a:blip r:embed="rId12" cstate="print"/>
                          <a:stretch>
                            <a:fillRect/>
                          </a:stretch>
                        </pic:blipFill>
                        <pic:spPr>
                          <a:xfrm>
                            <a:off x="0" y="0"/>
                            <a:ext cx="2179023" cy="1634204"/>
                          </a:xfrm>
                          <a:prstGeom prst="rect">
                            <a:avLst/>
                          </a:prstGeom>
                        </pic:spPr>
                      </pic:pic>
                    </a:graphicData>
                  </a:graphic>
                </wp:inline>
              </w:drawing>
            </w:r>
            <w:r>
              <w:rPr>
                <w:sz w:val="20"/>
              </w:rPr>
            </w:r>
          </w:p>
        </w:tc>
        <w:tc>
          <w:tcPr>
            <w:tcW w:w="386" w:type="dxa"/>
          </w:tcPr>
          <w:p>
            <w:pPr>
              <w:pStyle w:val="TableParagraph"/>
              <w:rPr>
                <w:rFonts w:ascii="Times New Roman"/>
                <w:sz w:val="18"/>
              </w:rPr>
            </w:pPr>
          </w:p>
        </w:tc>
      </w:tr>
      <w:tr>
        <w:trPr>
          <w:trHeight w:val="505" w:hRule="atLeast"/>
        </w:trPr>
        <w:tc>
          <w:tcPr>
            <w:tcW w:w="386" w:type="dxa"/>
          </w:tcPr>
          <w:p>
            <w:pPr>
              <w:pStyle w:val="TableParagraph"/>
              <w:rPr>
                <w:rFonts w:ascii="Times New Roman"/>
                <w:sz w:val="18"/>
              </w:rPr>
            </w:pPr>
          </w:p>
        </w:tc>
        <w:tc>
          <w:tcPr>
            <w:tcW w:w="4059" w:type="dxa"/>
            <w:tcBorders>
              <w:bottom w:val="single" w:sz="8" w:space="0" w:color="000000"/>
            </w:tcBorders>
          </w:tcPr>
          <w:p>
            <w:pPr>
              <w:pStyle w:val="TableParagraph"/>
              <w:spacing w:line="437" w:lineRule="exact" w:before="49"/>
              <w:ind w:left="1207"/>
              <w:rPr>
                <w:sz w:val="21"/>
              </w:rPr>
            </w:pPr>
            <w:r>
              <w:rPr>
                <w:sz w:val="21"/>
              </w:rPr>
              <w:t>空调机房减震</w:t>
            </w:r>
          </w:p>
        </w:tc>
        <w:tc>
          <w:tcPr>
            <w:tcW w:w="4239" w:type="dxa"/>
            <w:tcBorders>
              <w:bottom w:val="single" w:sz="8" w:space="0" w:color="000000"/>
            </w:tcBorders>
          </w:tcPr>
          <w:p>
            <w:pPr>
              <w:pStyle w:val="TableParagraph"/>
              <w:spacing w:line="437" w:lineRule="exact" w:before="49"/>
              <w:ind w:left="1767" w:right="1368"/>
              <w:jc w:val="center"/>
              <w:rPr>
                <w:sz w:val="21"/>
              </w:rPr>
            </w:pPr>
            <w:r>
              <w:rPr>
                <w:sz w:val="21"/>
              </w:rPr>
              <w:t>化粪池</w:t>
            </w:r>
          </w:p>
        </w:tc>
        <w:tc>
          <w:tcPr>
            <w:tcW w:w="386" w:type="dxa"/>
          </w:tcPr>
          <w:p>
            <w:pPr>
              <w:pStyle w:val="TableParagraph"/>
              <w:rPr>
                <w:rFonts w:ascii="Times New Roman"/>
                <w:sz w:val="18"/>
              </w:rPr>
            </w:pPr>
          </w:p>
        </w:tc>
      </w:tr>
    </w:tbl>
    <w:p>
      <w:pPr>
        <w:spacing w:line="377" w:lineRule="exact" w:before="0"/>
        <w:ind w:left="1711" w:right="1567" w:firstLine="0"/>
        <w:jc w:val="center"/>
        <w:rPr>
          <w:sz w:val="21"/>
        </w:rPr>
      </w:pPr>
      <w:r>
        <w:rPr>
          <w:sz w:val="21"/>
        </w:rPr>
        <w:t>图 </w:t>
      </w:r>
      <w:r>
        <w:rPr>
          <w:rFonts w:ascii="Arial" w:eastAsia="Arial"/>
          <w:b/>
          <w:sz w:val="21"/>
        </w:rPr>
        <w:t>4-2 </w:t>
      </w:r>
      <w:r>
        <w:rPr>
          <w:sz w:val="21"/>
        </w:rPr>
        <w:t>项目完工影像</w:t>
      </w:r>
    </w:p>
    <w:p>
      <w:pPr>
        <w:spacing w:after="0" w:line="377" w:lineRule="exact"/>
        <w:jc w:val="center"/>
        <w:rPr>
          <w:sz w:val="21"/>
        </w:rPr>
        <w:sectPr>
          <w:pgSz w:w="11910" w:h="16840"/>
          <w:pgMar w:header="877" w:footer="1146" w:top="1420" w:bottom="1340" w:left="1200" w:right="1340"/>
        </w:sectPr>
      </w:pPr>
    </w:p>
    <w:p>
      <w:pPr>
        <w:pStyle w:val="Heading1"/>
        <w:numPr>
          <w:ilvl w:val="0"/>
          <w:numId w:val="2"/>
        </w:numPr>
        <w:tabs>
          <w:tab w:pos="1020" w:val="left" w:leader="none"/>
          <w:tab w:pos="1021" w:val="left" w:leader="none"/>
        </w:tabs>
        <w:spacing w:line="645" w:lineRule="exact" w:before="0" w:after="0"/>
        <w:ind w:left="1020" w:right="0" w:hanging="420"/>
        <w:jc w:val="left"/>
        <w:rPr>
          <w:rFonts w:ascii="Noto Sans CJK JP Regular" w:eastAsia="Noto Sans CJK JP Regular" w:hint="eastAsia"/>
        </w:rPr>
      </w:pPr>
      <w:r>
        <w:rPr/>
        <w:pict>
          <v:group style="position:absolute;margin-left:84.384003pt;margin-top:103.220001pt;width:415.4pt;height:656.3pt;mso-position-horizontal-relative:page;mso-position-vertical-relative:page;z-index:-90736" coordorigin="1688,2064" coordsize="8308,13126">
            <v:rect style="position:absolute;left:1687;top:2064;width:10;height:10" filled="true" fillcolor="#000000" stroked="false">
              <v:fill type="solid"/>
            </v:rect>
            <v:line style="position:absolute" from="1697,2069" to="9986,2069" stroked="true" strokeweight=".47998pt" strokecolor="#000000">
              <v:stroke dashstyle="solid"/>
            </v:line>
            <v:rect style="position:absolute;left:9986;top:2064;width:10;height:10" filled="true" fillcolor="#000000" stroked="false">
              <v:fill type="solid"/>
            </v:rect>
            <v:line style="position:absolute" from="1692,2074" to="1692,15180" stroked="true" strokeweight=".480003pt" strokecolor="#000000">
              <v:stroke dashstyle="solid"/>
            </v:line>
            <v:rect style="position:absolute;left:1687;top:15180;width:10;height:10" filled="true" fillcolor="#000000" stroked="false">
              <v:fill type="solid"/>
            </v:rect>
            <v:line style="position:absolute" from="1697,15185" to="9986,15185" stroked="true" strokeweight=".47998pt" strokecolor="#000000">
              <v:stroke dashstyle="solid"/>
            </v:line>
            <v:line style="position:absolute" from="9991,2074" to="9991,15180" stroked="true" strokeweight=".480011pt" strokecolor="#000000">
              <v:stroke dashstyle="solid"/>
            </v:line>
            <v:rect style="position:absolute;left:9986;top:15180;width:10;height:10" filled="true" fillcolor="#000000" stroked="false">
              <v:fill type="solid"/>
            </v:rect>
            <w10:wrap type="none"/>
          </v:group>
        </w:pict>
      </w:r>
      <w:bookmarkStart w:name="_TOC_250006" w:id="5"/>
      <w:bookmarkEnd w:id="5"/>
      <w:r>
        <w:rPr>
          <w:rFonts w:ascii="Noto Sans CJK JP Regular" w:eastAsia="Noto Sans CJK JP Regular" w:hint="eastAsia"/>
        </w:rPr>
        <w:t>环境影响评价回顾</w:t>
      </w:r>
    </w:p>
    <w:p>
      <w:pPr>
        <w:pStyle w:val="BodyText"/>
        <w:spacing w:line="252" w:lineRule="auto" w:before="2"/>
        <w:ind w:left="600" w:right="687"/>
      </w:pPr>
      <w:r>
        <w:rPr/>
        <w:t>项目环境影响评价的主要环境影响预测及结论（生态、声、大气、水、振动、电磁、固体废物等）：</w:t>
      </w:r>
    </w:p>
    <w:p>
      <w:pPr>
        <w:pStyle w:val="BodyText"/>
        <w:spacing w:line="252" w:lineRule="auto" w:before="2"/>
        <w:ind w:left="600" w:right="679"/>
        <w:jc w:val="both"/>
      </w:pPr>
      <w:r>
        <w:rPr/>
        <w:t>东钱湖国际教育论坛项目（博物馆</w:t>
      </w:r>
      <w:r>
        <w:rPr>
          <w:spacing w:val="3"/>
        </w:rPr>
        <w:t>）</w:t>
      </w:r>
      <w:r>
        <w:rPr/>
        <w:t>由宁波华茂教育文化投资有限公司投资建设。本项</w:t>
      </w:r>
      <w:r>
        <w:rPr>
          <w:spacing w:val="-3"/>
        </w:rPr>
        <w:t>目总用地面积约</w:t>
      </w:r>
      <w:r>
        <w:rPr>
          <w:rFonts w:ascii="Times New Roman" w:eastAsia="Times New Roman"/>
        </w:rPr>
        <w:t>8050.21 m</w:t>
      </w:r>
      <w:r>
        <w:rPr>
          <w:rFonts w:ascii="Times New Roman" w:eastAsia="Times New Roman"/>
          <w:vertAlign w:val="superscript"/>
        </w:rPr>
        <w:t>2</w:t>
      </w:r>
      <w:r>
        <w:rPr>
          <w:spacing w:val="-2"/>
          <w:vertAlign w:val="baseline"/>
        </w:rPr>
        <w:t>，总建筑面积</w:t>
      </w:r>
      <w:r>
        <w:rPr>
          <w:rFonts w:ascii="Times New Roman" w:eastAsia="Times New Roman"/>
          <w:vertAlign w:val="baseline"/>
        </w:rPr>
        <w:t>6393.5 m</w:t>
      </w:r>
      <w:r>
        <w:rPr>
          <w:rFonts w:ascii="Times New Roman" w:eastAsia="Times New Roman"/>
          <w:vertAlign w:val="superscript"/>
        </w:rPr>
        <w:t>2</w:t>
      </w:r>
      <w:r>
        <w:rPr>
          <w:spacing w:val="-3"/>
          <w:vertAlign w:val="baseline"/>
        </w:rPr>
        <w:t>，其中计容建筑面积</w:t>
      </w:r>
      <w:r>
        <w:rPr>
          <w:rFonts w:ascii="Times New Roman" w:eastAsia="Times New Roman"/>
          <w:vertAlign w:val="baseline"/>
        </w:rPr>
        <w:t>3548 m</w:t>
      </w:r>
      <w:r>
        <w:rPr>
          <w:rFonts w:ascii="Times New Roman" w:eastAsia="Times New Roman"/>
          <w:vertAlign w:val="superscript"/>
        </w:rPr>
        <w:t>2</w:t>
      </w:r>
      <w:r>
        <w:rPr>
          <w:spacing w:val="-1"/>
          <w:vertAlign w:val="baseline"/>
        </w:rPr>
        <w:t>，主要建</w:t>
      </w:r>
      <w:r>
        <w:rPr>
          <w:spacing w:val="-4"/>
          <w:vertAlign w:val="baseline"/>
        </w:rPr>
        <w:t>设主体建筑包括博物馆及其配套用房，地下共</w:t>
      </w:r>
      <w:r>
        <w:rPr>
          <w:rFonts w:ascii="Times New Roman" w:eastAsia="Times New Roman"/>
          <w:vertAlign w:val="baseline"/>
        </w:rPr>
        <w:t>1</w:t>
      </w:r>
      <w:r>
        <w:rPr>
          <w:spacing w:val="-5"/>
          <w:vertAlign w:val="baseline"/>
        </w:rPr>
        <w:t>层，建筑面积约为</w:t>
      </w:r>
      <w:r>
        <w:rPr>
          <w:rFonts w:ascii="Times New Roman" w:eastAsia="Times New Roman"/>
          <w:vertAlign w:val="baseline"/>
        </w:rPr>
        <w:t>2845.5 m</w:t>
      </w:r>
      <w:r>
        <w:rPr>
          <w:rFonts w:ascii="Times New Roman" w:eastAsia="Times New Roman"/>
          <w:vertAlign w:val="superscript"/>
        </w:rPr>
        <w:t>2</w:t>
      </w:r>
      <w:r>
        <w:rPr>
          <w:spacing w:val="-4"/>
          <w:vertAlign w:val="baseline"/>
        </w:rPr>
        <w:t>。本项目总投资</w:t>
      </w:r>
      <w:r>
        <w:rPr>
          <w:rFonts w:ascii="Times New Roman" w:eastAsia="Times New Roman"/>
          <w:spacing w:val="-4"/>
          <w:vertAlign w:val="baseline"/>
        </w:rPr>
        <w:t>12000</w:t>
      </w:r>
      <w:r>
        <w:rPr>
          <w:spacing w:val="-3"/>
          <w:vertAlign w:val="baseline"/>
        </w:rPr>
        <w:t>万元，建设周期约</w:t>
      </w:r>
      <w:r>
        <w:rPr>
          <w:rFonts w:ascii="Times New Roman" w:eastAsia="Times New Roman"/>
          <w:vertAlign w:val="baseline"/>
        </w:rPr>
        <w:t>2</w:t>
      </w:r>
      <w:r>
        <w:rPr>
          <w:vertAlign w:val="baseline"/>
        </w:rPr>
        <w:t>年。</w:t>
      </w:r>
    </w:p>
    <w:p>
      <w:pPr>
        <w:pStyle w:val="BodyText"/>
        <w:spacing w:before="2"/>
        <w:ind w:left="600"/>
      </w:pPr>
      <w:r>
        <w:rPr>
          <w:rFonts w:ascii="Times New Roman" w:eastAsia="Times New Roman"/>
        </w:rPr>
        <w:t>1</w:t>
      </w:r>
      <w:r>
        <w:rPr/>
        <w:t>、环境质量现状</w:t>
      </w:r>
    </w:p>
    <w:p>
      <w:pPr>
        <w:pStyle w:val="BodyText"/>
        <w:spacing w:before="23"/>
        <w:ind w:left="600"/>
      </w:pPr>
      <w:r>
        <w:rPr>
          <w:rFonts w:ascii="Times New Roman" w:eastAsia="Times New Roman"/>
        </w:rPr>
        <w:t>1</w:t>
      </w:r>
      <w:r>
        <w:rPr/>
        <w:t>）大气环境质量现状</w:t>
      </w:r>
    </w:p>
    <w:p>
      <w:pPr>
        <w:pStyle w:val="BodyText"/>
        <w:spacing w:line="252" w:lineRule="auto" w:before="23"/>
        <w:ind w:left="600" w:right="676"/>
        <w:jc w:val="both"/>
      </w:pPr>
      <w:r>
        <w:rPr>
          <w:rFonts w:ascii="Times New Roman" w:eastAsia="Times New Roman"/>
        </w:rPr>
        <w:t>2010</w:t>
      </w:r>
      <w:r>
        <w:rPr/>
        <w:t>年</w:t>
      </w:r>
      <w:r>
        <w:rPr>
          <w:rFonts w:ascii="Times New Roman" w:eastAsia="Times New Roman"/>
        </w:rPr>
        <w:t>8</w:t>
      </w:r>
      <w:r>
        <w:rPr/>
        <w:t>月</w:t>
      </w:r>
      <w:r>
        <w:rPr>
          <w:rFonts w:ascii="Times New Roman" w:eastAsia="Times New Roman"/>
        </w:rPr>
        <w:t>4</w:t>
      </w:r>
      <w:r>
        <w:rPr/>
        <w:t>日～</w:t>
      </w:r>
      <w:r>
        <w:rPr>
          <w:rFonts w:ascii="Times New Roman" w:eastAsia="Times New Roman"/>
        </w:rPr>
        <w:t>2010</w:t>
      </w:r>
      <w:r>
        <w:rPr>
          <w:spacing w:val="3"/>
        </w:rPr>
        <w:t>年</w:t>
      </w:r>
      <w:r>
        <w:rPr>
          <w:rFonts w:ascii="Times New Roman" w:eastAsia="Times New Roman"/>
        </w:rPr>
        <w:t>8</w:t>
      </w:r>
      <w:r>
        <w:rPr/>
        <w:t>月</w:t>
      </w:r>
      <w:r>
        <w:rPr>
          <w:rFonts w:ascii="Times New Roman" w:eastAsia="Times New Roman"/>
        </w:rPr>
        <w:t>9</w:t>
      </w:r>
      <w:r>
        <w:rPr/>
        <w:t>日，东钱湖旅游渡假区管委会委托深圳市华测检测技术股份</w:t>
      </w:r>
      <w:r>
        <w:rPr>
          <w:spacing w:val="-5"/>
        </w:rPr>
        <w:t>有限公司针对国家级旅游度假区创建进行了空气环境监测，监测项目包括</w:t>
      </w:r>
      <w:r>
        <w:rPr>
          <w:rFonts w:ascii="Times New Roman" w:eastAsia="Times New Roman"/>
        </w:rPr>
        <w:t>SO</w:t>
      </w:r>
      <w:r>
        <w:rPr>
          <w:rFonts w:ascii="Times New Roman" w:eastAsia="Times New Roman"/>
          <w:vertAlign w:val="subscript"/>
        </w:rPr>
        <w:t>2</w:t>
      </w:r>
      <w:r>
        <w:rPr>
          <w:spacing w:val="-45"/>
          <w:vertAlign w:val="baseline"/>
        </w:rPr>
        <w:t>、</w:t>
      </w:r>
      <w:r>
        <w:rPr>
          <w:rFonts w:ascii="Times New Roman" w:eastAsia="Times New Roman"/>
          <w:vertAlign w:val="baseline"/>
        </w:rPr>
        <w:t>NO</w:t>
      </w:r>
      <w:r>
        <w:rPr>
          <w:rFonts w:ascii="Times New Roman" w:eastAsia="Times New Roman"/>
          <w:vertAlign w:val="subscript"/>
        </w:rPr>
        <w:t>2</w:t>
      </w:r>
      <w:r>
        <w:rPr>
          <w:spacing w:val="-46"/>
          <w:vertAlign w:val="baseline"/>
        </w:rPr>
        <w:t>、</w:t>
      </w:r>
      <w:r>
        <w:rPr>
          <w:rFonts w:ascii="Times New Roman" w:eastAsia="Times New Roman"/>
          <w:vertAlign w:val="baseline"/>
        </w:rPr>
        <w:t>TSP </w:t>
      </w:r>
      <w:r>
        <w:rPr>
          <w:vertAlign w:val="baseline"/>
        </w:rPr>
        <w:t>和</w:t>
      </w:r>
      <w:r>
        <w:rPr>
          <w:rFonts w:ascii="Times New Roman" w:eastAsia="Times New Roman"/>
          <w:vertAlign w:val="baseline"/>
        </w:rPr>
        <w:t>PM</w:t>
      </w:r>
      <w:r>
        <w:rPr>
          <w:rFonts w:ascii="Times New Roman" w:eastAsia="Times New Roman"/>
          <w:vertAlign w:val="subscript"/>
        </w:rPr>
        <w:t>10</w:t>
      </w:r>
      <w:r>
        <w:rPr>
          <w:vertAlign w:val="baseline"/>
        </w:rPr>
        <w:t>等共</w:t>
      </w:r>
      <w:r>
        <w:rPr>
          <w:rFonts w:ascii="Times New Roman" w:eastAsia="Times New Roman"/>
          <w:vertAlign w:val="baseline"/>
        </w:rPr>
        <w:t>4</w:t>
      </w:r>
      <w:r>
        <w:rPr>
          <w:vertAlign w:val="baseline"/>
        </w:rPr>
        <w:t>项。监测点位共计</w:t>
      </w:r>
      <w:r>
        <w:rPr>
          <w:rFonts w:ascii="Times New Roman" w:eastAsia="Times New Roman"/>
          <w:vertAlign w:val="baseline"/>
        </w:rPr>
        <w:t>4</w:t>
      </w:r>
      <w:r>
        <w:rPr>
          <w:vertAlign w:val="baseline"/>
        </w:rPr>
        <w:t>个，常规因子监测日均值均低于《环境空气质量标准》</w:t>
      </w:r>
    </w:p>
    <w:p>
      <w:pPr>
        <w:pStyle w:val="BodyText"/>
        <w:spacing w:line="252" w:lineRule="auto" w:before="2"/>
        <w:ind w:left="600" w:right="677"/>
        <w:jc w:val="both"/>
      </w:pPr>
      <w:r>
        <w:rPr>
          <w:spacing w:val="-3"/>
        </w:rPr>
        <w:t>（</w:t>
      </w:r>
      <w:r>
        <w:rPr>
          <w:rFonts w:ascii="Times New Roman" w:eastAsia="Times New Roman"/>
          <w:spacing w:val="-3"/>
        </w:rPr>
        <w:t>GB3095-1996</w:t>
      </w:r>
      <w:r>
        <w:rPr>
          <w:spacing w:val="-3"/>
        </w:rPr>
        <w:t>）</w:t>
      </w:r>
      <w:r>
        <w:rPr>
          <w:spacing w:val="-7"/>
        </w:rPr>
        <w:t>的一级标准限值；所有监测点的所有监测样品均未出现超标，污染指数均为</w:t>
      </w:r>
      <w:r>
        <w:rPr>
          <w:rFonts w:ascii="Times New Roman" w:eastAsia="Times New Roman"/>
          <w:spacing w:val="-7"/>
        </w:rPr>
        <w:t>0</w:t>
      </w:r>
      <w:r>
        <w:rPr>
          <w:spacing w:val="-3"/>
        </w:rPr>
        <w:t>。综上所述，说明东钱湖旅游度假区的环境空气符合环境功能区划的要求，空气质量较优。</w:t>
      </w:r>
    </w:p>
    <w:p>
      <w:pPr>
        <w:pStyle w:val="BodyText"/>
        <w:spacing w:before="2"/>
        <w:ind w:left="600"/>
      </w:pPr>
      <w:r>
        <w:rPr>
          <w:rFonts w:ascii="Times New Roman" w:eastAsia="Times New Roman"/>
        </w:rPr>
        <w:t>2</w:t>
      </w:r>
      <w:r>
        <w:rPr/>
        <w:t>）地表水环境质量现状</w:t>
      </w:r>
    </w:p>
    <w:p>
      <w:pPr>
        <w:pStyle w:val="BodyText"/>
        <w:spacing w:line="252" w:lineRule="auto" w:before="22"/>
        <w:ind w:left="600" w:right="606"/>
        <w:rPr>
          <w:rFonts w:ascii="Times New Roman" w:hAnsi="Times New Roman" w:eastAsia="Times New Roman"/>
        </w:rPr>
      </w:pPr>
      <w:r>
        <w:rPr/>
        <w:t>通过收集</w:t>
      </w:r>
      <w:r>
        <w:rPr>
          <w:rFonts w:ascii="Times New Roman" w:hAnsi="Times New Roman" w:eastAsia="Times New Roman"/>
        </w:rPr>
        <w:t>2009</w:t>
      </w:r>
      <w:r>
        <w:rPr/>
        <w:t>年《宁波市环境质量报告书》中奉化江翻石渡、澄浪堰、三江口断面水质各监测指标，除澄浪堰断面的</w:t>
      </w:r>
      <w:r>
        <w:rPr>
          <w:rFonts w:ascii="Times New Roman" w:hAnsi="Times New Roman" w:eastAsia="Times New Roman"/>
        </w:rPr>
        <w:t>DO</w:t>
      </w:r>
      <w:r>
        <w:rPr/>
        <w:t>为Ⅴ类标准外均符合《地表水环境质量标准》（</w:t>
      </w:r>
      <w:r>
        <w:rPr>
          <w:rFonts w:ascii="Times New Roman" w:hAnsi="Times New Roman" w:eastAsia="Times New Roman"/>
        </w:rPr>
        <w:t>GB3838</w:t>
      </w:r>
    </w:p>
    <w:p>
      <w:pPr>
        <w:pStyle w:val="BodyText"/>
        <w:spacing w:before="1"/>
        <w:ind w:left="600"/>
      </w:pPr>
      <w:r>
        <w:rPr/>
        <w:t>－</w:t>
      </w:r>
      <w:r>
        <w:rPr>
          <w:rFonts w:ascii="Times New Roman" w:hAnsi="Times New Roman" w:eastAsia="Times New Roman"/>
        </w:rPr>
        <w:t>2002</w:t>
      </w:r>
      <w:r>
        <w:rPr/>
        <w:t>）Ⅳ类水体水质要求。</w:t>
      </w:r>
    </w:p>
    <w:p>
      <w:pPr>
        <w:pStyle w:val="BodyText"/>
        <w:spacing w:line="252" w:lineRule="auto" w:before="23"/>
        <w:ind w:left="600" w:right="576"/>
      </w:pPr>
      <w:r>
        <w:rPr/>
        <w:t>引用</w:t>
      </w:r>
      <w:r>
        <w:rPr>
          <w:rFonts w:ascii="Times New Roman" w:hAnsi="Times New Roman" w:eastAsia="Times New Roman"/>
        </w:rPr>
        <w:t>2009</w:t>
      </w:r>
      <w:r>
        <w:rPr/>
        <w:t>年</w:t>
      </w:r>
      <w:r>
        <w:rPr>
          <w:rFonts w:ascii="Times New Roman" w:hAnsi="Times New Roman" w:eastAsia="Times New Roman"/>
        </w:rPr>
        <w:t>12</w:t>
      </w:r>
      <w:r>
        <w:rPr/>
        <w:t>月东钱湖环境监测站委托宁波市环境监测中心为进一步评价东钱湖旅游区 </w:t>
      </w:r>
      <w:r>
        <w:rPr>
          <w:spacing w:val="-9"/>
        </w:rPr>
        <w:t>地表水环境质量的监测结果，对东钱湖水质质量进行评价。监测项目包括水温、</w:t>
      </w:r>
      <w:r>
        <w:rPr>
          <w:rFonts w:ascii="Times New Roman" w:hAnsi="Times New Roman" w:eastAsia="Times New Roman"/>
          <w:spacing w:val="-3"/>
        </w:rPr>
        <w:t>pH</w:t>
      </w:r>
      <w:r>
        <w:rPr>
          <w:spacing w:val="-39"/>
        </w:rPr>
        <w:t>、</w:t>
      </w:r>
      <w:r>
        <w:rPr>
          <w:rFonts w:ascii="Times New Roman" w:hAnsi="Times New Roman" w:eastAsia="Times New Roman"/>
        </w:rPr>
        <w:t>DO</w:t>
      </w:r>
      <w:r>
        <w:rPr/>
        <w:t>、</w:t>
      </w:r>
      <w:r>
        <w:rPr>
          <w:spacing w:val="-3"/>
        </w:rPr>
        <w:t>高锰酸钾指数、</w:t>
      </w:r>
      <w:r>
        <w:rPr>
          <w:rFonts w:ascii="Times New Roman" w:hAnsi="Times New Roman" w:eastAsia="Times New Roman"/>
        </w:rPr>
        <w:t>BOD</w:t>
      </w:r>
      <w:r>
        <w:rPr>
          <w:rFonts w:ascii="Times New Roman" w:hAnsi="Times New Roman" w:eastAsia="Times New Roman"/>
          <w:vertAlign w:val="subscript"/>
        </w:rPr>
        <w:t>5</w:t>
      </w:r>
      <w:r>
        <w:rPr>
          <w:spacing w:val="-3"/>
          <w:vertAlign w:val="baseline"/>
        </w:rPr>
        <w:t>、挥发酚、氰化物、砷、汞、铬</w:t>
      </w:r>
      <w:r>
        <w:rPr>
          <w:vertAlign w:val="baseline"/>
        </w:rPr>
        <w:t>（</w:t>
      </w:r>
      <w:r>
        <w:rPr>
          <w:spacing w:val="-2"/>
          <w:vertAlign w:val="baseline"/>
        </w:rPr>
        <w:t>六价</w:t>
      </w:r>
      <w:r>
        <w:rPr>
          <w:spacing w:val="-3"/>
          <w:vertAlign w:val="baseline"/>
        </w:rPr>
        <w:t>）、铅、镉、铜、石油类、总磷、总氮、氨氮、叶绿素</w:t>
      </w:r>
      <w:r>
        <w:rPr>
          <w:rFonts w:ascii="Times New Roman" w:hAnsi="Times New Roman" w:eastAsia="Times New Roman"/>
          <w:vertAlign w:val="baseline"/>
        </w:rPr>
        <w:t>a</w:t>
      </w:r>
      <w:r>
        <w:rPr>
          <w:vertAlign w:val="baseline"/>
        </w:rPr>
        <w:t>共</w:t>
      </w:r>
      <w:r>
        <w:rPr>
          <w:rFonts w:ascii="Times New Roman" w:hAnsi="Times New Roman" w:eastAsia="Times New Roman"/>
          <w:vertAlign w:val="baseline"/>
        </w:rPr>
        <w:t>18</w:t>
      </w:r>
      <w:r>
        <w:rPr>
          <w:spacing w:val="-3"/>
          <w:vertAlign w:val="baseline"/>
        </w:rPr>
        <w:t>个项目。监测点位为下水、南湖中心和北湖中心，结果为下水湖湾现状水质基本为Ⅱ类水体，但其中高锰酸钾、总氮和石油类超标，其余水质 指标均能满足Ⅱ水质标准要求；东钱湖北湖现状水质基本为Ⅱ类水体，但其高锰酸盐指 数满足Ⅲ水质标准，石油类和总氮指标仅满足</w:t>
      </w:r>
      <w:r>
        <w:rPr>
          <w:rFonts w:ascii="Times New Roman" w:hAnsi="Times New Roman" w:eastAsia="Times New Roman"/>
          <w:vertAlign w:val="baseline"/>
        </w:rPr>
        <w:t>IV</w:t>
      </w:r>
      <w:r>
        <w:rPr>
          <w:vertAlign w:val="baseline"/>
        </w:rPr>
        <w:t>类水质要求，其余水质指标均能满足Ⅱ 水质标准要求；东钱湖南湖现状水质基本满足Ⅲ水质要求，其所有监测的项目中仅石油 </w:t>
      </w:r>
      <w:r>
        <w:rPr>
          <w:spacing w:val="-1"/>
          <w:vertAlign w:val="baseline"/>
        </w:rPr>
        <w:t>类只达到</w:t>
      </w:r>
      <w:r>
        <w:rPr>
          <w:rFonts w:ascii="Times New Roman" w:hAnsi="Times New Roman" w:eastAsia="Times New Roman"/>
          <w:vertAlign w:val="baseline"/>
        </w:rPr>
        <w:t>IV</w:t>
      </w:r>
      <w:r>
        <w:rPr>
          <w:spacing w:val="-3"/>
          <w:vertAlign w:val="baseline"/>
        </w:rPr>
        <w:t>类水质要求。</w:t>
      </w:r>
    </w:p>
    <w:p>
      <w:pPr>
        <w:spacing w:after="0" w:line="252" w:lineRule="auto"/>
        <w:sectPr>
          <w:pgSz w:w="11910" w:h="16840"/>
          <w:pgMar w:header="877" w:footer="1146" w:top="1420" w:bottom="1340" w:left="1200" w:right="1340"/>
        </w:sectPr>
      </w:pPr>
    </w:p>
    <w:p>
      <w:pPr>
        <w:pStyle w:val="BodyText"/>
        <w:spacing w:before="23"/>
        <w:ind w:left="600"/>
      </w:pPr>
      <w:r>
        <w:rPr/>
        <w:pict>
          <v:group style="position:absolute;margin-left:84.384003pt;margin-top:72pt;width:415.4pt;height:679.7pt;mso-position-horizontal-relative:page;mso-position-vertical-relative:page;z-index:-90712" coordorigin="1688,1440" coordsize="8308,13594">
            <v:line style="position:absolute" from="1697,1445" to="9986,1445" stroked="true" strokeweight=".47998pt" strokecolor="#000000">
              <v:stroke dashstyle="solid"/>
            </v:line>
            <v:line style="position:absolute" from="1692,1440" to="1692,15024" stroked="true" strokeweight=".480003pt" strokecolor="#000000">
              <v:stroke dashstyle="solid"/>
            </v:line>
            <v:rect style="position:absolute;left:1687;top:15024;width:10;height:10" filled="true" fillcolor="#000000" stroked="false">
              <v:fill type="solid"/>
            </v:rect>
            <v:line style="position:absolute" from="1697,15029" to="9986,15029" stroked="true" strokeweight=".47998pt" strokecolor="#000000">
              <v:stroke dashstyle="solid"/>
            </v:line>
            <v:line style="position:absolute" from="9991,1440" to="9991,15024" stroked="true" strokeweight=".480011pt" strokecolor="#000000">
              <v:stroke dashstyle="solid"/>
            </v:line>
            <v:rect style="position:absolute;left:9986;top:15024;width:10;height:10" filled="true" fillcolor="#000000" stroked="false">
              <v:fill type="solid"/>
            </v:rect>
            <w10:wrap type="none"/>
          </v:group>
        </w:pict>
      </w:r>
      <w:r>
        <w:rPr>
          <w:rFonts w:ascii="Times New Roman" w:eastAsia="Times New Roman"/>
        </w:rPr>
        <w:t>3</w:t>
      </w:r>
      <w:r>
        <w:rPr/>
        <w:t>）噪声环境质量现状</w:t>
      </w:r>
    </w:p>
    <w:p>
      <w:pPr>
        <w:pStyle w:val="BodyText"/>
        <w:spacing w:line="252" w:lineRule="auto" w:before="23"/>
        <w:ind w:left="600" w:right="687"/>
      </w:pPr>
      <w:r>
        <w:rPr/>
        <w:t>项目地块周边声环境质量良好，环湖东路车流量较少，交通噪声影响不明显，各监测点位昼夜噪声均符合</w:t>
      </w:r>
      <w:r>
        <w:rPr>
          <w:rFonts w:ascii="Times New Roman" w:eastAsia="Times New Roman"/>
        </w:rPr>
        <w:t>GB3096-2008</w:t>
      </w:r>
      <w:r>
        <w:rPr/>
        <w:t>《声环境质量标准》中的相应功能区标准要求。</w:t>
      </w:r>
    </w:p>
    <w:p>
      <w:pPr>
        <w:pStyle w:val="BodyText"/>
        <w:spacing w:before="1"/>
        <w:ind w:left="600"/>
      </w:pPr>
      <w:r>
        <w:rPr>
          <w:rFonts w:ascii="Times New Roman" w:eastAsia="Times New Roman"/>
        </w:rPr>
        <w:t>2</w:t>
      </w:r>
      <w:r>
        <w:rPr/>
        <w:t>、影响分析结论及防治措施</w:t>
      </w:r>
    </w:p>
    <w:p>
      <w:pPr>
        <w:pStyle w:val="BodyText"/>
        <w:spacing w:before="23"/>
        <w:ind w:left="600"/>
      </w:pPr>
      <w:r>
        <w:rPr>
          <w:rFonts w:ascii="Times New Roman" w:eastAsia="Times New Roman"/>
        </w:rPr>
        <w:t>1</w:t>
      </w:r>
      <w:r>
        <w:rPr/>
        <w:t>）施工期影响分析结论</w:t>
      </w:r>
    </w:p>
    <w:p>
      <w:pPr>
        <w:pStyle w:val="BodyText"/>
        <w:spacing w:before="23"/>
        <w:ind w:left="600"/>
      </w:pPr>
      <w:r>
        <w:rPr/>
        <w:t>（</w:t>
      </w:r>
      <w:r>
        <w:rPr>
          <w:rFonts w:ascii="Times New Roman" w:eastAsia="Times New Roman"/>
        </w:rPr>
        <w:t>1</w:t>
      </w:r>
      <w:r>
        <w:rPr/>
        <w:t>）大气环境影响分析结论</w:t>
      </w:r>
    </w:p>
    <w:p>
      <w:pPr>
        <w:pStyle w:val="BodyText"/>
        <w:spacing w:line="252" w:lineRule="auto" w:before="23"/>
        <w:ind w:left="600" w:right="573"/>
        <w:jc w:val="both"/>
      </w:pPr>
      <w:r>
        <w:rPr/>
        <w:t>针对本项目施工期产生扬尘，施工单位必须制订完善的施工计划和合理组织施工进度， 尽量缩短工期和避开在大风情况下进行扬尘量大的施工作业。主要对策有：①在项目施工期间，对路面勤洒水，以减小施工车辆经过时产生的扬尘对附近东侧钱隆山庄带来的 影响。②谨防运输车辆装载过满，并尽量采取遮盖、密闭措施，减少沿途抛洒，并及时 清扫散落在路面上的泥土和建筑材料，冲洗轮胎，定时洒水压尘，以减少运输过程中的 扬尘。③运土及运粉状建筑材料的运输车辆应采用加盖专用车辆或者配置防洒落装置， 车辆装载不宜过满，保证运输过程中不散落，如需运输灰渣、水泥等，运输时应采用密 </w:t>
      </w:r>
      <w:r>
        <w:rPr>
          <w:spacing w:val="-3"/>
        </w:rPr>
        <w:t>闭式槽车，严禁沿路遗洒。④运输车辆进出工地应低速或限速行驶，减少汽车行驶扬尘。</w:t>
      </w:r>
    </w:p>
    <w:p>
      <w:pPr>
        <w:pStyle w:val="BodyText"/>
        <w:spacing w:line="252" w:lineRule="auto" w:before="5"/>
        <w:ind w:left="600" w:right="677"/>
        <w:jc w:val="both"/>
      </w:pPr>
      <w:r>
        <w:rPr/>
        <w:t>⑤根据主导风向和钱隆山庄、殷湾村等住宅小区的相对位置，对现场合理布局；堆放料场地应尽量远离环境保护目标，对易产生扬尘的材料实行库存或加盖蓬布，不得露天堆放；对施工现场实行合理化管理，使砂石料统一堆放，水泥应设散装水泥槽，并尽量减少搬运环节。⑥加强施工工地监督管理，施工单位采取围档、遮挡、挡板、设置防护网和禁止高空抛物等措施，建筑施工外脚手架一律采用密目网围护，以抑制施工过程中的扬尘量，缩小施工扬尘扩散范围，严禁敞开式作业。⑦开挖的泥土和建筑垃圾要及时运走或者填埋，以防止长期堆放表面干燥而起尘；应经常洒水使作业面土壤保持较高的湿</w:t>
      </w:r>
      <w:r>
        <w:rPr>
          <w:spacing w:val="-5"/>
        </w:rPr>
        <w:t>度；对施工场地内裸露的地面，也应经常洒水防止扬尘。⑧遇有</w:t>
      </w:r>
      <w:r>
        <w:rPr>
          <w:rFonts w:ascii="Times New Roman" w:hAnsi="Times New Roman" w:eastAsia="Times New Roman"/>
        </w:rPr>
        <w:t>4</w:t>
      </w:r>
      <w:r>
        <w:rPr>
          <w:spacing w:val="-3"/>
        </w:rPr>
        <w:t>级以上大风天气预报或市政府发布空气质量预警时，要求停止施工。⑨要求施工单位采用商品混凝土，禁止现场拌合混凝土。建设单位严格落实本环评提出的施工期大气污染防治措施，则本项目施工扬尘对周边钱隆山庄、殷湾村等住宅小区及周围沿线等保护目标影响较小。</w:t>
      </w:r>
    </w:p>
    <w:p>
      <w:pPr>
        <w:pStyle w:val="BodyText"/>
        <w:spacing w:before="6"/>
        <w:ind w:left="600"/>
      </w:pPr>
      <w:r>
        <w:rPr/>
        <w:t>（</w:t>
      </w:r>
      <w:r>
        <w:rPr>
          <w:rFonts w:ascii="Times New Roman" w:eastAsia="Times New Roman"/>
        </w:rPr>
        <w:t>2</w:t>
      </w:r>
      <w:r>
        <w:rPr/>
        <w:t>）水环境影响分析结论</w:t>
      </w:r>
    </w:p>
    <w:p>
      <w:pPr>
        <w:pStyle w:val="BodyText"/>
        <w:spacing w:line="252" w:lineRule="auto" w:before="23"/>
        <w:ind w:left="600" w:right="684"/>
        <w:jc w:val="both"/>
      </w:pPr>
      <w:r>
        <w:rPr/>
        <w:t>施工人员生活废水应合理处置，因此建设单位应尽可能的利用就近的已建生活设施，无条件的应建设诸如临时食堂、隔油池、临时厕所、化粪池等临时生活设施。施工期间食堂产生的含油废水需经隔油池处理后再汇同施工人员一般生活污水排入临时性污水处理</w:t>
      </w:r>
    </w:p>
    <w:p>
      <w:pPr>
        <w:spacing w:after="0" w:line="252" w:lineRule="auto"/>
        <w:jc w:val="both"/>
        <w:sectPr>
          <w:pgSz w:w="11910" w:h="16840"/>
          <w:pgMar w:header="877" w:footer="1146" w:top="1420" w:bottom="1340" w:left="1200" w:right="1340"/>
        </w:sectPr>
      </w:pPr>
    </w:p>
    <w:p>
      <w:pPr>
        <w:pStyle w:val="BodyText"/>
        <w:spacing w:line="252" w:lineRule="auto" w:before="23"/>
        <w:ind w:left="600" w:right="687"/>
        <w:jc w:val="both"/>
      </w:pPr>
      <w:r>
        <w:rPr/>
        <w:pict>
          <v:group style="position:absolute;margin-left:84.384003pt;margin-top:72pt;width:415.4pt;height:679.7pt;mso-position-horizontal-relative:page;mso-position-vertical-relative:page;z-index:-90688" coordorigin="1688,1440" coordsize="8308,13594">
            <v:line style="position:absolute" from="1697,1445" to="9986,1445" stroked="true" strokeweight=".47998pt" strokecolor="#000000">
              <v:stroke dashstyle="solid"/>
            </v:line>
            <v:line style="position:absolute" from="1692,1440" to="1692,15024" stroked="true" strokeweight=".480003pt" strokecolor="#000000">
              <v:stroke dashstyle="solid"/>
            </v:line>
            <v:rect style="position:absolute;left:1687;top:15024;width:10;height:10" filled="true" fillcolor="#000000" stroked="false">
              <v:fill type="solid"/>
            </v:rect>
            <v:line style="position:absolute" from="1697,15029" to="9986,15029" stroked="true" strokeweight=".47998pt" strokecolor="#000000">
              <v:stroke dashstyle="solid"/>
            </v:line>
            <v:line style="position:absolute" from="9991,1440" to="9991,15024" stroked="true" strokeweight=".480011pt" strokecolor="#000000">
              <v:stroke dashstyle="solid"/>
            </v:line>
            <v:rect style="position:absolute;left:9986;top:15024;width:10;height:10" filled="true" fillcolor="#000000" stroked="false">
              <v:fill type="solid"/>
            </v:rect>
            <w10:wrap type="none"/>
          </v:group>
        </w:pict>
      </w:r>
      <w:r>
        <w:rPr/>
        <w:t>设施处理后达到三级标准排入附近市政污水管网，最后通过宁波市南区污水处理厂处理排放，对环境影响较小。</w:t>
      </w:r>
    </w:p>
    <w:p>
      <w:pPr>
        <w:pStyle w:val="BodyText"/>
        <w:spacing w:line="252" w:lineRule="auto" w:before="1"/>
        <w:ind w:left="600" w:right="682"/>
        <w:jc w:val="both"/>
      </w:pPr>
      <w:r>
        <w:rPr/>
        <w:t>施工场地含砂径流主要是各种施工机械设备运转的冷却及洗涤用水和施工现场清洗、建材清洗、混凝土养护、设备水压试验产生的废水。这些废水严禁直排湖内，建议在施工工地周围设置排水明沟，径流水经沉淀后排入市政污水管网，对环境影响较小。施工中应严格按照水土保持要求，严禁将施工泥浆、钻渣及建筑垃圾倒入河道，钻孔灌注泥浆水应委托专门机构统一处置。施工泥浆需委托环卫部门定期清运处理；施工机械严格检查，防止油料泄漏进入水体。</w:t>
      </w:r>
    </w:p>
    <w:p>
      <w:pPr>
        <w:pStyle w:val="BodyText"/>
        <w:spacing w:before="4"/>
        <w:ind w:left="600"/>
      </w:pPr>
      <w:r>
        <w:rPr/>
        <w:t>（</w:t>
      </w:r>
      <w:r>
        <w:rPr>
          <w:rFonts w:ascii="Times New Roman" w:eastAsia="Times New Roman"/>
        </w:rPr>
        <w:t>3</w:t>
      </w:r>
      <w:r>
        <w:rPr/>
        <w:t>）施工固废影响分析结论</w:t>
      </w:r>
    </w:p>
    <w:p>
      <w:pPr>
        <w:pStyle w:val="BodyText"/>
        <w:spacing w:line="252" w:lineRule="auto" w:before="23"/>
        <w:ind w:left="600" w:right="680"/>
        <w:jc w:val="both"/>
      </w:pPr>
      <w:r>
        <w:rPr/>
        <w:t>施工期间产生的建筑垃圾、生活垃圾及时进行清理，建筑垃圾要及时清运，防止其因长期堆放而产生扬尘。建设期间对生活垃圾要进行专门收集，并定期将之送往较近的垃圾场进行卫生填埋处置，严禁乱堆乱扔，以免破坏自然景观，防止产生二次污染。</w:t>
      </w:r>
    </w:p>
    <w:p>
      <w:pPr>
        <w:pStyle w:val="BodyText"/>
        <w:spacing w:before="2"/>
        <w:ind w:left="600"/>
      </w:pPr>
      <w:r>
        <w:rPr/>
        <w:t>（</w:t>
      </w:r>
      <w:r>
        <w:rPr>
          <w:rFonts w:ascii="Times New Roman" w:eastAsia="Times New Roman"/>
        </w:rPr>
        <w:t>4</w:t>
      </w:r>
      <w:r>
        <w:rPr/>
        <w:t>）施工噪声影响分析结论</w:t>
      </w:r>
    </w:p>
    <w:p>
      <w:pPr>
        <w:pStyle w:val="BodyText"/>
        <w:spacing w:line="252" w:lineRule="auto" w:before="22"/>
        <w:ind w:left="600" w:right="679"/>
        <w:jc w:val="both"/>
      </w:pPr>
      <w:r>
        <w:rPr>
          <w:spacing w:val="-9"/>
        </w:rPr>
        <w:t>在施工过程中，建议：①加强施工管理，合理安排施工作业时间。根据</w:t>
      </w:r>
      <w:r>
        <w:rPr>
          <w:rFonts w:ascii="Times New Roman" w:hAnsi="Times New Roman" w:eastAsia="Times New Roman"/>
        </w:rPr>
        <w:t>GB12523¬-90</w:t>
      </w:r>
      <w:r>
        <w:rPr>
          <w:spacing w:val="-3"/>
        </w:rPr>
        <w:t>的规</w:t>
      </w:r>
      <w:r>
        <w:rPr/>
        <w:t>定，夜间严禁进行高噪声施工作业，如果必须进行夜间连续施工，则应认真执行夜间施工的有关规定，施工单位要提出书面申请，经有关部门批复同意后，并尽量缩短工期。</w:t>
      </w:r>
      <w:r>
        <w:rPr>
          <w:spacing w:val="-7"/>
        </w:rPr>
        <w:t>对不同施工阶段，应按《建筑施工场界噪声限值》</w:t>
      </w:r>
      <w:r>
        <w:rPr>
          <w:spacing w:val="-3"/>
        </w:rPr>
        <w:t>（</w:t>
      </w:r>
      <w:r>
        <w:rPr>
          <w:rFonts w:ascii="Times New Roman" w:hAnsi="Times New Roman" w:eastAsia="Times New Roman"/>
          <w:spacing w:val="-3"/>
        </w:rPr>
        <w:t>GB2523-90</w:t>
      </w:r>
      <w:r>
        <w:rPr>
          <w:spacing w:val="-3"/>
        </w:rPr>
        <w:t>）对施工场界进行噪声控制。②合理科学地布置施工现场，施工机械应尽可能放置于对场界外造成影响最小的地点，在高噪声设备周围设置掩蔽物，对位置相对固定的机械设备，能于棚内操作的尽量进入操作间。③降低人为噪声，降低设备声级。设备选型上尽量采用低噪设备，以液压工具代替气压工具。可通过排气管消音器和隔离发动机振动部件的方法降低噪声；对动力机械设备进行定期的维修、养护，维护不良的设备常因松动部件的振动或消声器的损坏而增加其工作时声级；闲置不用的设备应立即关闭；运输车辆进入现场应减速，禁鸣喇叭。④采用商品混凝土，减少混凝土搅拌时产生噪声。</w:t>
      </w:r>
    </w:p>
    <w:p>
      <w:pPr>
        <w:pStyle w:val="BodyText"/>
        <w:spacing w:before="7"/>
        <w:ind w:left="600"/>
      </w:pPr>
      <w:r>
        <w:rPr>
          <w:rFonts w:ascii="Times New Roman" w:eastAsia="Times New Roman"/>
        </w:rPr>
        <w:t>2</w:t>
      </w:r>
      <w:r>
        <w:rPr/>
        <w:t>）运营期影响分析结论及防治措施</w:t>
      </w:r>
    </w:p>
    <w:p>
      <w:pPr>
        <w:pStyle w:val="BodyText"/>
        <w:spacing w:before="23"/>
        <w:ind w:left="600"/>
      </w:pPr>
      <w:r>
        <w:rPr/>
        <w:t>（</w:t>
      </w:r>
      <w:r>
        <w:rPr>
          <w:rFonts w:ascii="Times New Roman" w:eastAsia="Times New Roman"/>
        </w:rPr>
        <w:t>1</w:t>
      </w:r>
      <w:r>
        <w:rPr/>
        <w:t>）大气环境影响分析结论</w:t>
      </w:r>
    </w:p>
    <w:p>
      <w:pPr>
        <w:pStyle w:val="BodyText"/>
        <w:spacing w:line="252" w:lineRule="auto" w:before="23"/>
        <w:ind w:left="600" w:right="687"/>
        <w:jc w:val="both"/>
      </w:pPr>
      <w:r>
        <w:rPr/>
        <w:t>本项目为环评中整体工程的二期工程，运营期不涉及环评提到的地下车库及炉灶使用所排放的废气，主要废气为公共卫生间机械通风产生的废气，集中至楼顶排放。</w:t>
      </w:r>
    </w:p>
    <w:p>
      <w:pPr>
        <w:spacing w:after="0" w:line="252" w:lineRule="auto"/>
        <w:jc w:val="both"/>
        <w:sectPr>
          <w:pgSz w:w="11910" w:h="16840"/>
          <w:pgMar w:header="877" w:footer="1146" w:top="1420" w:bottom="1340" w:left="1200" w:right="1340"/>
        </w:sectPr>
      </w:pPr>
    </w:p>
    <w:p>
      <w:pPr>
        <w:pStyle w:val="BodyText"/>
        <w:spacing w:before="23"/>
        <w:ind w:left="600"/>
      </w:pPr>
      <w:r>
        <w:rPr/>
        <w:pict>
          <v:group style="position:absolute;margin-left:84.384003pt;margin-top:72pt;width:415.4pt;height:679.7pt;mso-position-horizontal-relative:page;mso-position-vertical-relative:page;z-index:-90664" coordorigin="1688,1440" coordsize="8308,13594">
            <v:line style="position:absolute" from="1697,1445" to="9986,1445" stroked="true" strokeweight=".47998pt" strokecolor="#000000">
              <v:stroke dashstyle="solid"/>
            </v:line>
            <v:line style="position:absolute" from="1692,1440" to="1692,15024" stroked="true" strokeweight=".480003pt" strokecolor="#000000">
              <v:stroke dashstyle="solid"/>
            </v:line>
            <v:rect style="position:absolute;left:1687;top:15024;width:10;height:10" filled="true" fillcolor="#000000" stroked="false">
              <v:fill type="solid"/>
            </v:rect>
            <v:line style="position:absolute" from="1697,15029" to="9986,15029" stroked="true" strokeweight=".47998pt" strokecolor="#000000">
              <v:stroke dashstyle="solid"/>
            </v:line>
            <v:line style="position:absolute" from="9991,1440" to="9991,15024" stroked="true" strokeweight=".480011pt" strokecolor="#000000">
              <v:stroke dashstyle="solid"/>
            </v:line>
            <v:rect style="position:absolute;left:9986;top:15024;width:10;height:10" filled="true" fillcolor="#000000" stroked="false">
              <v:fill type="solid"/>
            </v:rect>
            <w10:wrap type="none"/>
          </v:group>
        </w:pict>
      </w:r>
      <w:r>
        <w:rPr/>
        <w:t>（</w:t>
      </w:r>
      <w:r>
        <w:rPr>
          <w:rFonts w:ascii="Times New Roman" w:eastAsia="Times New Roman"/>
        </w:rPr>
        <w:t>2</w:t>
      </w:r>
      <w:r>
        <w:rPr/>
        <w:t>）水环境影响分析</w:t>
      </w:r>
    </w:p>
    <w:p>
      <w:pPr>
        <w:pStyle w:val="BodyText"/>
        <w:spacing w:line="252" w:lineRule="auto" w:before="23"/>
        <w:ind w:left="600" w:right="687"/>
        <w:jc w:val="both"/>
      </w:pPr>
      <w:r>
        <w:rPr/>
        <w:t>本项目营运期排水主要为办公、公共卫生间等的生活污水。生活污水经化粪池处理后排入市政污水管网，最终纳入宁波南区污水处理厂处理达到《城镇污水处理厂污染物排放标准》（</w:t>
      </w:r>
      <w:r>
        <w:rPr>
          <w:rFonts w:ascii="Times New Roman" w:eastAsia="Times New Roman"/>
        </w:rPr>
        <w:t>GB18918-2002</w:t>
      </w:r>
      <w:r>
        <w:rPr/>
        <w:t>）一级</w:t>
      </w:r>
      <w:r>
        <w:rPr>
          <w:rFonts w:ascii="Times New Roman" w:eastAsia="Times New Roman"/>
        </w:rPr>
        <w:t>A</w:t>
      </w:r>
      <w:r>
        <w:rPr/>
        <w:t>标准后排放。</w:t>
      </w:r>
    </w:p>
    <w:p>
      <w:pPr>
        <w:pStyle w:val="BodyText"/>
        <w:spacing w:before="2"/>
        <w:ind w:left="600"/>
      </w:pPr>
      <w:r>
        <w:rPr/>
        <w:t>（</w:t>
      </w:r>
      <w:r>
        <w:rPr>
          <w:rFonts w:ascii="Times New Roman" w:eastAsia="Times New Roman"/>
        </w:rPr>
        <w:t>3</w:t>
      </w:r>
      <w:r>
        <w:rPr/>
        <w:t>）噪声环境影响分析</w:t>
      </w:r>
    </w:p>
    <w:p>
      <w:pPr>
        <w:pStyle w:val="BodyText"/>
        <w:spacing w:line="252" w:lineRule="auto" w:before="23"/>
        <w:ind w:left="600" w:right="573"/>
      </w:pPr>
      <w:r>
        <w:rPr>
          <w:spacing w:val="-3"/>
        </w:rPr>
        <w:t>本项目噪声来源主要为水泵噪声、变配电设备噪声，地下室风机噪声、空调运行噪声等。各设备房围墙采用实墙建造并减少开窗，设备运行期间门窗应保持关闭；安装时采取挠 性连接并且底部设减振垫，以确保建筑物隔声减振效果。还可适当采取安装消声器等隔 </w:t>
      </w:r>
      <w:r>
        <w:rPr>
          <w:spacing w:val="-16"/>
        </w:rPr>
        <w:t>声防噪措施，确保运行时厂界噪声不超过《社会生活环境噪声排放标准</w:t>
      </w:r>
      <w:r>
        <w:rPr>
          <w:spacing w:val="-159"/>
        </w:rPr>
        <w:t>》</w:t>
      </w:r>
      <w:r>
        <w:rPr/>
        <w:t>（</w:t>
      </w:r>
      <w:r>
        <w:rPr>
          <w:rFonts w:ascii="Times New Roman" w:eastAsia="Times New Roman"/>
        </w:rPr>
        <w:t>GB 22337-2008</w:t>
      </w:r>
      <w:r>
        <w:rPr/>
        <w:t>）</w:t>
      </w:r>
    </w:p>
    <w:p>
      <w:pPr>
        <w:pStyle w:val="BodyText"/>
        <w:spacing w:before="2"/>
        <w:ind w:left="600"/>
      </w:pPr>
      <w:r>
        <w:rPr>
          <w:rFonts w:ascii="Times New Roman" w:eastAsia="Times New Roman"/>
        </w:rPr>
        <w:t>1</w:t>
      </w:r>
      <w:r>
        <w:rPr/>
        <w:t>类标准。</w:t>
      </w:r>
    </w:p>
    <w:p>
      <w:pPr>
        <w:pStyle w:val="BodyText"/>
        <w:spacing w:before="23"/>
        <w:ind w:left="600"/>
      </w:pPr>
      <w:r>
        <w:rPr/>
        <w:t>（</w:t>
      </w:r>
      <w:r>
        <w:rPr>
          <w:rFonts w:ascii="Times New Roman" w:eastAsia="Times New Roman"/>
        </w:rPr>
        <w:t>4</w:t>
      </w:r>
      <w:r>
        <w:rPr/>
        <w:t>）固体废物影响分析</w:t>
      </w:r>
    </w:p>
    <w:p>
      <w:pPr>
        <w:pStyle w:val="BodyText"/>
        <w:spacing w:line="252" w:lineRule="auto" w:before="23"/>
        <w:ind w:left="600" w:right="683"/>
        <w:jc w:val="both"/>
      </w:pPr>
      <w:r>
        <w:rPr/>
        <w:t>本项目固体废物主要为博物馆的参观、管理人员产生的生活垃圾，如果皮、废纸、饮料罐等。建立分类收集制度，加强物业管理，及时清理后交由环卫部门统一清运，妥善处理处置后，其对环境影响较小。</w:t>
      </w:r>
    </w:p>
    <w:p>
      <w:pPr>
        <w:pStyle w:val="BodyText"/>
        <w:spacing w:before="2"/>
        <w:ind w:left="600"/>
      </w:pPr>
      <w:r>
        <w:rPr/>
        <w:t>（</w:t>
      </w:r>
      <w:r>
        <w:rPr>
          <w:rFonts w:ascii="Times New Roman" w:eastAsia="Times New Roman"/>
        </w:rPr>
        <w:t>5</w:t>
      </w:r>
      <w:r>
        <w:rPr/>
        <w:t>）周边环境对本项目的影响</w:t>
      </w:r>
    </w:p>
    <w:p>
      <w:pPr>
        <w:pStyle w:val="BodyText"/>
        <w:spacing w:line="252" w:lineRule="auto" w:before="23"/>
        <w:ind w:left="600" w:right="683"/>
        <w:jc w:val="both"/>
      </w:pPr>
      <w:r>
        <w:rPr/>
        <w:t>本项目位于宁波市东钱湖畔，建成后为博物馆，为非居民住宅用房。周边地块性质为旅游业用地、公共绿地和一类居住用地，是东钱湖旅游度假区旅游村，无重大污染企业。故周边对本项目影响主要为交通道路的影响。</w:t>
      </w:r>
    </w:p>
    <w:p>
      <w:pPr>
        <w:pStyle w:val="BodyText"/>
        <w:spacing w:before="1"/>
        <w:ind w:left="600"/>
      </w:pPr>
      <w:r>
        <w:rPr>
          <w:rFonts w:ascii="Times New Roman" w:eastAsia="Times New Roman"/>
        </w:rPr>
        <w:t>3</w:t>
      </w:r>
      <w:r>
        <w:rPr/>
        <w:t>、建设项目的建设可行性</w:t>
      </w:r>
    </w:p>
    <w:p>
      <w:pPr>
        <w:pStyle w:val="BodyText"/>
        <w:spacing w:before="23"/>
        <w:ind w:left="600"/>
      </w:pPr>
      <w:r>
        <w:rPr/>
        <w:t>（</w:t>
      </w:r>
      <w:r>
        <w:rPr>
          <w:rFonts w:ascii="Times New Roman" w:eastAsia="Times New Roman"/>
        </w:rPr>
        <w:t>1</w:t>
      </w:r>
      <w:r>
        <w:rPr/>
        <w:t>）产业政策符合性</w:t>
      </w:r>
    </w:p>
    <w:p>
      <w:pPr>
        <w:pStyle w:val="BodyText"/>
        <w:spacing w:line="252" w:lineRule="auto" w:before="23"/>
        <w:ind w:left="600" w:right="679"/>
        <w:jc w:val="both"/>
      </w:pPr>
      <w:r>
        <w:rPr>
          <w:spacing w:val="-3"/>
        </w:rPr>
        <w:t>根据“中华人民共和国国家发展和改革委员会令第</w:t>
      </w:r>
      <w:r>
        <w:rPr>
          <w:rFonts w:ascii="Times New Roman" w:hAnsi="Times New Roman" w:eastAsia="Times New Roman"/>
        </w:rPr>
        <w:t>40</w:t>
      </w:r>
      <w:r>
        <w:rPr>
          <w:spacing w:val="-1"/>
        </w:rPr>
        <w:t>号”产业结构调整指导目录</w:t>
      </w:r>
      <w:r>
        <w:rPr>
          <w:rFonts w:ascii="Times New Roman" w:hAnsi="Times New Roman" w:eastAsia="Times New Roman"/>
        </w:rPr>
        <w:t>(2005</w:t>
      </w:r>
      <w:r>
        <w:rPr/>
        <w:t>年  本</w:t>
      </w:r>
      <w:r>
        <w:rPr>
          <w:rFonts w:ascii="Times New Roman" w:hAnsi="Times New Roman" w:eastAsia="Times New Roman"/>
        </w:rPr>
        <w:t>)</w:t>
      </w:r>
      <w:r>
        <w:rPr>
          <w:spacing w:val="-3"/>
        </w:rPr>
        <w:t>第一类鼓励类中的“城镇园林绿化及生态小区建设”，项目为房地产产业，系建设成  片教育论坛，建设有利于城镇建设和发展，绿化指标符合当地园林管理部门要求，其总体建设符合国家产业政策。</w:t>
      </w:r>
    </w:p>
    <w:p>
      <w:pPr>
        <w:pStyle w:val="BodyText"/>
        <w:spacing w:before="3"/>
        <w:ind w:left="600"/>
      </w:pPr>
      <w:r>
        <w:rPr/>
        <w:t>（</w:t>
      </w:r>
      <w:r>
        <w:rPr>
          <w:rFonts w:ascii="Times New Roman" w:eastAsia="Times New Roman"/>
        </w:rPr>
        <w:t>2</w:t>
      </w:r>
      <w:r>
        <w:rPr/>
        <w:t>）选址合理性分析</w:t>
      </w:r>
    </w:p>
    <w:p>
      <w:pPr>
        <w:pStyle w:val="BodyText"/>
        <w:spacing w:line="252" w:lineRule="auto" w:before="22"/>
        <w:ind w:left="600" w:right="571"/>
        <w:jc w:val="both"/>
      </w:pPr>
      <w:r>
        <w:rPr/>
        <w:t>项目地块周边无相邻重污染企业，周边配套完善，地块自然条件适宜进行房地产开发活 动；项目所在区域环境质量现状指标满足相关环境功能区划要求，项目选址及建设内容 和建设符合《东钱湖地区总体规划》。因此，本项目建设地址较合理，将成为具有现代 </w:t>
      </w:r>
      <w:r>
        <w:rPr>
          <w:spacing w:val="-4"/>
        </w:rPr>
        <w:t>本土风格、生态绿地水系相互融合的高质量综合性国际教育论坛，同时随着项目的建成，</w:t>
      </w:r>
    </w:p>
    <w:p>
      <w:pPr>
        <w:spacing w:after="0" w:line="252" w:lineRule="auto"/>
        <w:jc w:val="both"/>
        <w:sectPr>
          <w:pgSz w:w="11910" w:h="16840"/>
          <w:pgMar w:header="877" w:footer="1146" w:top="1420" w:bottom="1340" w:left="1200" w:right="1340"/>
        </w:sectPr>
      </w:pPr>
    </w:p>
    <w:p>
      <w:pPr>
        <w:pStyle w:val="BodyText"/>
        <w:spacing w:line="252" w:lineRule="auto" w:before="23"/>
        <w:ind w:left="600" w:right="687"/>
      </w:pPr>
      <w:r>
        <w:rPr/>
        <w:pict>
          <v:group style="position:absolute;margin-left:84.384003pt;margin-top:72pt;width:415.4pt;height:680.2pt;mso-position-horizontal-relative:page;mso-position-vertical-relative:page;z-index:-90640" coordorigin="1688,1440" coordsize="8308,13604">
            <v:line style="position:absolute" from="1697,1445" to="9986,1445" stroked="true" strokeweight=".47998pt" strokecolor="#000000">
              <v:stroke dashstyle="solid"/>
            </v:line>
            <v:line style="position:absolute" from="1697,13156" to="9986,13156" stroked="true" strokeweight=".480042pt" strokecolor="#000000">
              <v:stroke dashstyle="solid"/>
            </v:line>
            <v:line style="position:absolute" from="1692,1440" to="1692,15043" stroked="true" strokeweight=".480003pt" strokecolor="#000000">
              <v:stroke dashstyle="solid"/>
            </v:line>
            <v:line style="position:absolute" from="1697,15038" to="9986,15038" stroked="true" strokeweight=".480042pt" strokecolor="#000000">
              <v:stroke dashstyle="solid"/>
            </v:line>
            <v:line style="position:absolute" from="9991,1440" to="9991,15043" stroked="true" strokeweight=".480011pt" strokecolor="#000000">
              <v:stroke dashstyle="solid"/>
            </v:line>
            <w10:wrap type="none"/>
          </v:group>
        </w:pict>
      </w:r>
      <w:r>
        <w:rPr/>
        <w:t>为加强和推动中国与世界其他国家和地区教育文化的对话和联系，为推动人类教育的和谐发展，为新世纪中国教育的进步作出应有的贡献。</w:t>
      </w:r>
    </w:p>
    <w:p>
      <w:pPr>
        <w:pStyle w:val="BodyText"/>
        <w:spacing w:before="1"/>
        <w:ind w:left="600"/>
      </w:pPr>
      <w:r>
        <w:rPr/>
        <w:t>（</w:t>
      </w:r>
      <w:r>
        <w:rPr>
          <w:rFonts w:ascii="Times New Roman" w:eastAsia="Times New Roman"/>
        </w:rPr>
        <w:t>3</w:t>
      </w:r>
      <w:r>
        <w:rPr/>
        <w:t>）清洁生产符合性分析</w:t>
      </w:r>
    </w:p>
    <w:p>
      <w:pPr>
        <w:pStyle w:val="BodyText"/>
        <w:spacing w:line="252" w:lineRule="auto" w:before="23"/>
        <w:ind w:left="600" w:right="511"/>
      </w:pPr>
      <w:r>
        <w:rPr/>
        <w:t>本项目在建设中使用合格的建筑材料，采用超低能耗围护结构保温体系，减少建筑能耗， 所有设备能效比、保温层热阻优于《公共建筑节能设计标准》；水泵机组选用低转速、 低噪声、高效率、低能耗的水泵，风机、水泵采用变频控制，变电所采用无功功率自动 补偿；照明控制采用集中与分散相结合，以利节能；通过一系列的措施来节约能源、降 低物耗，从而减少污染物的产生量和排放量。因此，本项目的技术和装备基本能符合清 洁生产要求。</w:t>
      </w:r>
    </w:p>
    <w:p>
      <w:pPr>
        <w:pStyle w:val="BodyText"/>
        <w:spacing w:before="4"/>
        <w:ind w:left="600"/>
      </w:pPr>
      <w:r>
        <w:rPr/>
        <w:t>（</w:t>
      </w:r>
      <w:r>
        <w:rPr>
          <w:rFonts w:ascii="Times New Roman" w:eastAsia="Times New Roman"/>
        </w:rPr>
        <w:t>4</w:t>
      </w:r>
      <w:r>
        <w:rPr/>
        <w:t>）污染物达标排放</w:t>
      </w:r>
    </w:p>
    <w:p>
      <w:pPr>
        <w:pStyle w:val="BodyText"/>
        <w:spacing w:line="252" w:lineRule="auto" w:before="23"/>
        <w:ind w:left="600" w:right="682"/>
      </w:pPr>
      <w:r>
        <w:rPr/>
        <w:t>博物馆用房污染的来源较为简单，主要是设备运行噪声、生活污水和生活垃圾等，只要落实各项污染防治措施，污染物均能达标排放。</w:t>
      </w:r>
    </w:p>
    <w:p>
      <w:pPr>
        <w:pStyle w:val="BodyText"/>
        <w:spacing w:before="1"/>
        <w:ind w:left="600"/>
      </w:pPr>
      <w:r>
        <w:rPr/>
        <w:t>（</w:t>
      </w:r>
      <w:r>
        <w:rPr>
          <w:rFonts w:ascii="Times New Roman" w:eastAsia="Times New Roman"/>
        </w:rPr>
        <w:t>5</w:t>
      </w:r>
      <w:r>
        <w:rPr/>
        <w:t>）总量控制符合性分析</w:t>
      </w:r>
    </w:p>
    <w:p>
      <w:pPr>
        <w:pStyle w:val="BodyText"/>
        <w:spacing w:before="23"/>
        <w:ind w:left="600"/>
      </w:pPr>
      <w:r>
        <w:rPr/>
        <w:t>本项目为房产项目，不进行污染物排放总量的考核。</w:t>
      </w:r>
    </w:p>
    <w:p>
      <w:pPr>
        <w:pStyle w:val="BodyText"/>
        <w:spacing w:before="23"/>
        <w:ind w:left="600"/>
      </w:pPr>
      <w:r>
        <w:rPr/>
        <w:t>（</w:t>
      </w:r>
      <w:r>
        <w:rPr>
          <w:rFonts w:ascii="Times New Roman" w:eastAsia="Times New Roman"/>
        </w:rPr>
        <w:t>6</w:t>
      </w:r>
      <w:r>
        <w:rPr/>
        <w:t>）建设项目环境影响环境质量符合性分析</w:t>
      </w:r>
    </w:p>
    <w:p>
      <w:pPr>
        <w:pStyle w:val="BodyText"/>
        <w:spacing w:line="252" w:lineRule="auto" w:before="23"/>
        <w:ind w:left="600" w:right="683"/>
        <w:jc w:val="both"/>
      </w:pPr>
      <w:r>
        <w:rPr/>
        <w:t>本项目实施后，通过各种治理措施，废气能达标排放，可维持现状空气环境质量；废水经宁波南区污水处理厂处理后对纳污水体奉化江影响很小；通过采取隔声降噪措施，边界噪声能基本维持现状，对周边环境无明显影响。</w:t>
      </w:r>
    </w:p>
    <w:p>
      <w:pPr>
        <w:pStyle w:val="BodyText"/>
        <w:spacing w:before="1"/>
        <w:ind w:left="600"/>
      </w:pPr>
      <w:r>
        <w:rPr/>
        <w:t>环评总结论：</w:t>
      </w:r>
    </w:p>
    <w:p>
      <w:pPr>
        <w:pStyle w:val="BodyText"/>
        <w:spacing w:line="252" w:lineRule="auto" w:before="23"/>
        <w:ind w:left="600" w:right="685"/>
        <w:jc w:val="both"/>
      </w:pPr>
      <w:r>
        <w:rPr/>
        <w:t>本项目符合国家产业政策和城市发展规划、环保规划，符合清洁生产原则，所排污染物数量少，实现达标排放，满足总量控制要求。环境质量现状相对较好，项目实施后可以做到不改变环境质量现有功能和水平，并可做到经济效益和环境效益的统一。公众对本项目持支持态度。由此可见，如建设单位具体落实本环评中提出的各污染防治措施，文明施工，附近企业严格按照环保相关法律法规落实污染物治理设施，保证污染物达标排放的情况下，从环保角度看，本项目的建设是可行的。</w:t>
      </w:r>
    </w:p>
    <w:p>
      <w:pPr>
        <w:pStyle w:val="BodyText"/>
        <w:spacing w:before="14"/>
        <w:ind w:left="600"/>
      </w:pPr>
      <w:r>
        <w:rPr/>
        <w:t>各级环境保护行政主管部门的审批意见（国家、省、行业）</w:t>
      </w:r>
    </w:p>
    <w:p>
      <w:pPr>
        <w:pStyle w:val="BodyText"/>
        <w:spacing w:before="22"/>
        <w:ind w:left="2328"/>
      </w:pPr>
      <w:r>
        <w:rPr/>
        <w:t>东钱湖国际教育论坛项目环境影响报告书审批意见</w:t>
      </w:r>
    </w:p>
    <w:p>
      <w:pPr>
        <w:pStyle w:val="BodyText"/>
        <w:spacing w:line="252" w:lineRule="auto" w:before="23"/>
        <w:ind w:left="600" w:right="686" w:firstLine="453"/>
      </w:pPr>
      <w:r>
        <w:rPr/>
        <w:t>宁波华茂教育文化投资有限公司委托宁波市环境保护科学研究设计院编制的《东钱湖国际教育论坛项目环境影响报告书》（以下简称《报告书》）收悉，经审查，认为该</w:t>
      </w:r>
    </w:p>
    <w:p>
      <w:pPr>
        <w:spacing w:after="0" w:line="252" w:lineRule="auto"/>
        <w:sectPr>
          <w:pgSz w:w="11910" w:h="16840"/>
          <w:pgMar w:header="877" w:footer="1146" w:top="1420" w:bottom="1340" w:left="1200" w:right="1340"/>
        </w:sectPr>
      </w:pPr>
    </w:p>
    <w:p>
      <w:pPr>
        <w:pStyle w:val="BodyText"/>
        <w:spacing w:before="23"/>
        <w:ind w:left="600"/>
      </w:pPr>
      <w:r>
        <w:rPr/>
        <w:pict>
          <v:group style="position:absolute;margin-left:84.384003pt;margin-top:72pt;width:415.4pt;height:679.7pt;mso-position-horizontal-relative:page;mso-position-vertical-relative:page;z-index:-90616" coordorigin="1688,1440" coordsize="8308,13594">
            <v:line style="position:absolute" from="1697,1445" to="9986,1445" stroked="true" strokeweight=".47998pt" strokecolor="#000000">
              <v:stroke dashstyle="solid"/>
            </v:line>
            <v:line style="position:absolute" from="1692,1440" to="1692,15024" stroked="true" strokeweight=".480003pt" strokecolor="#000000">
              <v:stroke dashstyle="solid"/>
            </v:line>
            <v:rect style="position:absolute;left:1687;top:15024;width:10;height:10" filled="true" fillcolor="#000000" stroked="false">
              <v:fill type="solid"/>
            </v:rect>
            <v:line style="position:absolute" from="1697,15029" to="9986,15029" stroked="true" strokeweight=".47998pt" strokecolor="#000000">
              <v:stroke dashstyle="solid"/>
            </v:line>
            <v:line style="position:absolute" from="9991,1440" to="9991,15024" stroked="true" strokeweight=".480011pt" strokecolor="#000000">
              <v:stroke dashstyle="solid"/>
            </v:line>
            <v:rect style="position:absolute;left:9986;top:15024;width:10;height:10" filled="true" fillcolor="#000000" stroked="false">
              <v:fill type="solid"/>
            </v:rect>
            <w10:wrap type="none"/>
          </v:group>
        </w:pict>
      </w:r>
      <w:r>
        <w:rPr/>
        <w:t>报告书评价内容全面，方法合理，结论基本可信，经讨论形成审批意见如下：</w:t>
      </w:r>
    </w:p>
    <w:p>
      <w:pPr>
        <w:pStyle w:val="BodyText"/>
        <w:spacing w:line="252" w:lineRule="auto" w:before="23"/>
        <w:ind w:left="600" w:right="682" w:firstLine="453"/>
        <w:jc w:val="both"/>
      </w:pPr>
      <w:r>
        <w:rPr>
          <w:spacing w:val="-14"/>
        </w:rPr>
        <w:t>一、根据《报告书》评价结论、专家函审、部门会审意见，原则同意该项目按照《报</w:t>
      </w:r>
      <w:r>
        <w:rPr>
          <w:spacing w:val="-7"/>
        </w:rPr>
        <w:t>告书》规定的内容和规模在拟定地点建设。</w:t>
      </w:r>
    </w:p>
    <w:p>
      <w:pPr>
        <w:pStyle w:val="BodyText"/>
        <w:spacing w:line="252" w:lineRule="auto" w:before="1"/>
        <w:ind w:left="600" w:right="686" w:firstLine="453"/>
        <w:jc w:val="both"/>
      </w:pPr>
      <w:r>
        <w:rPr/>
        <w:t>二、在工程设计、建设和环境管理中要认真落实《报告书》提出的各项环保要求， 严格执行环保“三同时”制度，确保各类污染物稳定达标排放，并重点做到以下几点：</w:t>
      </w:r>
    </w:p>
    <w:p>
      <w:pPr>
        <w:pStyle w:val="BodyText"/>
        <w:spacing w:before="1"/>
        <w:ind w:left="1054"/>
      </w:pPr>
      <w:r>
        <w:rPr>
          <w:rFonts w:ascii="Noto Sans Mono CJK JP Regular" w:eastAsia="Noto Sans Mono CJK JP Regular" w:hint="eastAsia"/>
        </w:rPr>
        <w:t>1.</w:t>
      </w:r>
      <w:r>
        <w:rPr/>
        <w:t>项目施工期严格控制各施工设备的噪声，禁止夜间打桩；</w:t>
      </w:r>
    </w:p>
    <w:p>
      <w:pPr>
        <w:pStyle w:val="BodyText"/>
        <w:spacing w:line="252" w:lineRule="auto" w:before="23"/>
        <w:ind w:left="600" w:right="685" w:firstLine="453"/>
        <w:jc w:val="both"/>
      </w:pPr>
      <w:r>
        <w:rPr>
          <w:rFonts w:ascii="Noto Sans Mono CJK JP Regular" w:eastAsia="Noto Sans Mono CJK JP Regular" w:hint="eastAsia"/>
        </w:rPr>
        <w:t>2.</w:t>
      </w:r>
      <w:r>
        <w:rPr/>
        <w:t>项目施工期泥浆水须经沉淀池沉清后排放至连心路市政污水管道或清运，及时清运泥浆；施工期间人员生活废水经预处理后，接入连心路市政污水管道或由环卫部门清运，严禁排入东钱湖；</w:t>
      </w:r>
    </w:p>
    <w:p>
      <w:pPr>
        <w:pStyle w:val="BodyText"/>
        <w:spacing w:line="252" w:lineRule="auto" w:before="2"/>
        <w:ind w:left="600" w:right="685" w:firstLine="453"/>
        <w:jc w:val="both"/>
      </w:pPr>
      <w:r>
        <w:rPr>
          <w:rFonts w:ascii="Noto Sans Mono CJK JP Regular" w:eastAsia="Noto Sans Mono CJK JP Regular" w:hint="eastAsia"/>
        </w:rPr>
        <w:t>3.</w:t>
      </w:r>
      <w:r>
        <w:rPr/>
        <w:t>项目施工期土石方装运需采取防尘措施，及时清理外运弃土、弃渣，临时堆场要设置围墙和避雨措施，对受项目影响的裸露区域采取合理措施进行修复，同步落实截洪沟、沉沙池等水土保持措施；</w:t>
      </w:r>
    </w:p>
    <w:p>
      <w:pPr>
        <w:pStyle w:val="BodyText"/>
        <w:spacing w:line="252" w:lineRule="auto" w:before="2"/>
        <w:ind w:left="600" w:right="576" w:firstLine="453"/>
        <w:jc w:val="both"/>
      </w:pPr>
      <w:r>
        <w:rPr>
          <w:rFonts w:ascii="Noto Sans Mono CJK JP Regular" w:eastAsia="Noto Sans Mono CJK JP Regular" w:hint="eastAsia"/>
        </w:rPr>
        <w:t>4.</w:t>
      </w:r>
      <w:r>
        <w:rPr>
          <w:spacing w:val="-6"/>
        </w:rPr>
        <w:t>项目内排水管网必须雨污分流，地下室要求设置污水管，产生的经营废水经过滤、</w:t>
      </w:r>
      <w:r>
        <w:rPr>
          <w:spacing w:val="-5"/>
        </w:rPr>
        <w:t>隔油处理后，接入连心路市政污水管道，排放执行</w:t>
      </w:r>
      <w:r>
        <w:rPr>
          <w:rFonts w:ascii="Noto Sans Mono CJK JP Regular" w:eastAsia="Noto Sans Mono CJK JP Regular" w:hint="eastAsia"/>
        </w:rPr>
        <w:t>GB8978-1996</w:t>
      </w:r>
      <w:r>
        <w:rPr>
          <w:spacing w:val="-3"/>
        </w:rPr>
        <w:t>三级排放标准；本项目雨水接市政雨水管道前要求进行尘沙等预处理；</w:t>
      </w:r>
    </w:p>
    <w:p>
      <w:pPr>
        <w:pStyle w:val="BodyText"/>
        <w:spacing w:line="252" w:lineRule="auto" w:before="2"/>
        <w:ind w:left="600" w:right="674" w:firstLine="453"/>
        <w:jc w:val="both"/>
      </w:pPr>
      <w:r>
        <w:rPr>
          <w:rFonts w:ascii="Noto Sans Mono CJK JP Regular" w:eastAsia="Noto Sans Mono CJK JP Regular" w:hint="eastAsia"/>
        </w:rPr>
        <w:t>5.</w:t>
      </w:r>
      <w:r>
        <w:rPr/>
        <w:t>厨房产生的油烟废气必须经油烟净化装置处理，废气排放执行</w:t>
      </w:r>
      <w:r>
        <w:rPr>
          <w:rFonts w:ascii="Noto Sans Mono CJK JP Regular" w:eastAsia="Noto Sans Mono CJK JP Regular" w:hint="eastAsia"/>
        </w:rPr>
        <w:t>GB18483-2001</w:t>
      </w:r>
      <w:r>
        <w:rPr/>
        <w:t>《餐</w:t>
      </w:r>
      <w:r>
        <w:rPr>
          <w:spacing w:val="-3"/>
        </w:rPr>
        <w:t>饮业油烟排放标准》；</w:t>
      </w:r>
    </w:p>
    <w:p>
      <w:pPr>
        <w:pStyle w:val="BodyText"/>
        <w:spacing w:line="252" w:lineRule="auto" w:before="1"/>
        <w:ind w:left="600" w:right="685" w:firstLine="453"/>
        <w:jc w:val="both"/>
      </w:pPr>
      <w:r>
        <w:rPr>
          <w:rFonts w:ascii="Noto Sans Mono CJK JP Regular" w:eastAsia="Noto Sans Mono CJK JP Regular" w:hint="eastAsia"/>
        </w:rPr>
        <w:t>6.</w:t>
      </w:r>
      <w:r>
        <w:rPr/>
        <w:t>经营过程中使用的炉、灶必须采用先进的燃气设备，使用电、天然气、煤气等清</w:t>
      </w:r>
      <w:r>
        <w:rPr>
          <w:spacing w:val="-3"/>
        </w:rPr>
        <w:t>洁能源，不得使用煤；</w:t>
      </w:r>
    </w:p>
    <w:p>
      <w:pPr>
        <w:pStyle w:val="BodyText"/>
        <w:spacing w:line="252" w:lineRule="auto" w:before="1"/>
        <w:ind w:left="600" w:right="685" w:firstLine="453"/>
        <w:jc w:val="both"/>
      </w:pPr>
      <w:r>
        <w:rPr>
          <w:rFonts w:ascii="Noto Sans Mono CJK JP Regular" w:eastAsia="Noto Sans Mono CJK JP Regular" w:hint="eastAsia"/>
        </w:rPr>
        <w:t>7.</w:t>
      </w:r>
      <w:r>
        <w:rPr/>
        <w:t>对经营过程中产生的生活垃圾及食品残渣，需设置定点垃圾箱并配备专人清理， 防止影响周围环境；</w:t>
      </w:r>
    </w:p>
    <w:p>
      <w:pPr>
        <w:pStyle w:val="BodyText"/>
        <w:spacing w:line="252" w:lineRule="auto" w:before="2"/>
        <w:ind w:left="600" w:right="685" w:firstLine="453"/>
        <w:jc w:val="both"/>
      </w:pPr>
      <w:r>
        <w:rPr>
          <w:rFonts w:ascii="Noto Sans Mono CJK JP Regular" w:eastAsia="Noto Sans Mono CJK JP Regular" w:hint="eastAsia"/>
        </w:rPr>
        <w:t>8.</w:t>
      </w:r>
      <w:r>
        <w:rPr/>
        <w:t>加强生产经营管理，进行有效隔声、隔热，减少噪声和热辐射对周围环境的不良影响，晚上</w:t>
      </w:r>
      <w:r>
        <w:rPr>
          <w:rFonts w:ascii="Noto Sans Mono CJK JP Regular" w:eastAsia="Noto Sans Mono CJK JP Regular" w:hint="eastAsia"/>
        </w:rPr>
        <w:t>10:00</w:t>
      </w:r>
      <w:r>
        <w:rPr/>
        <w:t>到凌晨</w:t>
      </w:r>
      <w:r>
        <w:rPr>
          <w:rFonts w:ascii="Noto Sans Mono CJK JP Regular" w:eastAsia="Noto Sans Mono CJK JP Regular" w:hint="eastAsia"/>
        </w:rPr>
        <w:t>6:00</w:t>
      </w:r>
      <w:r>
        <w:rPr/>
        <w:t>不得从事有噪声污染的经营活动；</w:t>
      </w:r>
    </w:p>
    <w:p>
      <w:pPr>
        <w:pStyle w:val="BodyText"/>
        <w:spacing w:before="1"/>
        <w:ind w:left="1054"/>
      </w:pPr>
      <w:r>
        <w:rPr>
          <w:rFonts w:ascii="Noto Sans Mono CJK JP Regular" w:eastAsia="Noto Sans Mono CJK JP Regular" w:hint="eastAsia"/>
        </w:rPr>
        <w:t>9.</w:t>
      </w:r>
      <w:r>
        <w:rPr/>
        <w:t>未经市级环境保护部门审批同意，不得从事谷子湖水上娱乐活动项目。</w:t>
      </w:r>
    </w:p>
    <w:p>
      <w:pPr>
        <w:pStyle w:val="BodyText"/>
        <w:spacing w:line="252" w:lineRule="auto" w:before="23"/>
        <w:ind w:left="600" w:right="676" w:firstLine="453"/>
        <w:jc w:val="both"/>
      </w:pPr>
      <w:r>
        <w:rPr>
          <w:rFonts w:ascii="Noto Sans Mono CJK JP Regular" w:eastAsia="Noto Sans Mono CJK JP Regular" w:hint="eastAsia"/>
        </w:rPr>
        <w:t>10.</w:t>
      </w:r>
      <w:r>
        <w:rPr>
          <w:spacing w:val="-7"/>
        </w:rPr>
        <w:t>项目布局设计时，应考虑机械排风、冷却塔、备用发电机房等有噪音产生的设备</w:t>
      </w:r>
      <w:r>
        <w:rPr>
          <w:spacing w:val="-5"/>
        </w:rPr>
        <w:t>的影响，靠连心路一侧种植绿化，</w:t>
      </w:r>
      <w:r>
        <w:rPr>
          <w:rFonts w:ascii="Noto Sans Mono CJK JP Regular" w:eastAsia="Noto Sans Mono CJK JP Regular" w:hint="eastAsia"/>
        </w:rPr>
        <w:t>I</w:t>
      </w:r>
      <w:r>
        <w:rPr>
          <w:spacing w:val="-3"/>
        </w:rPr>
        <w:t>地块创业产业设施必须安装双层隔声玻璃，如对外出售，必须在商业用房销售合同中进行说明，加强生产经营管理，进行有效隔声、隔热， 减少噪声和热辐射对周围环境的不良影响。</w:t>
      </w:r>
    </w:p>
    <w:p>
      <w:pPr>
        <w:pStyle w:val="BodyText"/>
        <w:spacing w:before="2"/>
        <w:ind w:left="1054"/>
      </w:pPr>
      <w:r>
        <w:rPr/>
        <w:t>三、根据《建设项目环境保护管理条例》规定，建设单位在交付使用前，应当向审</w:t>
      </w:r>
    </w:p>
    <w:p>
      <w:pPr>
        <w:spacing w:after="0"/>
        <w:sectPr>
          <w:pgSz w:w="11910" w:h="16840"/>
          <w:pgMar w:header="877" w:footer="1146" w:top="1420" w:bottom="1340" w:left="1200" w:right="1340"/>
        </w:sectPr>
      </w:pPr>
    </w:p>
    <w:p>
      <w:pPr>
        <w:pStyle w:val="BodyText"/>
        <w:ind w:left="487"/>
        <w:rPr>
          <w:sz w:val="20"/>
        </w:rPr>
      </w:pPr>
      <w:r>
        <w:rPr>
          <w:sz w:val="20"/>
        </w:rPr>
        <w:pict>
          <v:shape style="width:414.95pt;height:234.55pt;mso-position-horizontal-relative:char;mso-position-vertical-relative:line" type="#_x0000_t202" filled="false" stroked="true" strokeweight=".480011pt" strokecolor="#000000">
            <w10:anchorlock/>
            <v:textbox inset="0,0,0,0">
              <w:txbxContent>
                <w:p>
                  <w:pPr>
                    <w:pStyle w:val="BodyText"/>
                    <w:spacing w:line="252" w:lineRule="auto"/>
                    <w:ind w:left="103" w:right="102"/>
                  </w:pPr>
                  <w:r>
                    <w:rPr/>
                    <w:t>批该项目的环境保护行政主管部门申请“三同时”验收，经预验收合格后，项目方可交   付。</w:t>
                  </w:r>
                </w:p>
                <w:p>
                  <w:pPr>
                    <w:pStyle w:val="BodyText"/>
                    <w:spacing w:line="252" w:lineRule="auto"/>
                    <w:ind w:left="103" w:right="105" w:firstLine="453"/>
                  </w:pPr>
                  <w:r>
                    <w:rPr/>
                    <w:t>四、《报告书》批准后，若建设项目的性质、规模或者采用的生产工艺发生重大变化的，应当重新报批环评。</w:t>
                  </w:r>
                </w:p>
                <w:p>
                  <w:pPr>
                    <w:pStyle w:val="BodyText"/>
                    <w:rPr>
                      <w:sz w:val="20"/>
                    </w:rPr>
                  </w:pPr>
                </w:p>
                <w:p>
                  <w:pPr>
                    <w:pStyle w:val="BodyText"/>
                    <w:rPr>
                      <w:sz w:val="20"/>
                    </w:rPr>
                  </w:pPr>
                </w:p>
                <w:p>
                  <w:pPr>
                    <w:pStyle w:val="BodyText"/>
                    <w:spacing w:before="6"/>
                    <w:rPr>
                      <w:sz w:val="26"/>
                    </w:rPr>
                  </w:pPr>
                </w:p>
                <w:p>
                  <w:pPr>
                    <w:pStyle w:val="BodyText"/>
                    <w:ind w:right="98"/>
                    <w:jc w:val="right"/>
                  </w:pPr>
                  <w:r>
                    <w:rPr>
                      <w:spacing w:val="-3"/>
                    </w:rPr>
                    <w:t>宁波东钱湖旅游度假区环境保护局</w:t>
                  </w:r>
                </w:p>
                <w:p>
                  <w:pPr>
                    <w:pStyle w:val="BodyText"/>
                    <w:spacing w:before="23"/>
                    <w:ind w:right="98"/>
                    <w:jc w:val="right"/>
                  </w:pPr>
                  <w:r>
                    <w:rPr>
                      <w:rFonts w:ascii="Times New Roman" w:eastAsia="Times New Roman"/>
                      <w:spacing w:val="-1"/>
                    </w:rPr>
                    <w:t>2011</w:t>
                  </w:r>
                  <w:r>
                    <w:rPr>
                      <w:spacing w:val="-3"/>
                    </w:rPr>
                    <w:t>年</w:t>
                  </w:r>
                  <w:r>
                    <w:rPr>
                      <w:rFonts w:ascii="Times New Roman" w:eastAsia="Times New Roman"/>
                    </w:rPr>
                    <w:t>4</w:t>
                  </w:r>
                  <w:r>
                    <w:rPr/>
                    <w:t>月</w:t>
                  </w:r>
                  <w:r>
                    <w:rPr>
                      <w:rFonts w:ascii="Times New Roman" w:eastAsia="Times New Roman"/>
                    </w:rPr>
                    <w:t>16</w:t>
                  </w:r>
                  <w:r>
                    <w:rPr/>
                    <w:t>日</w:t>
                  </w:r>
                </w:p>
                <w:p>
                  <w:pPr>
                    <w:pStyle w:val="BodyText"/>
                    <w:spacing w:before="23"/>
                    <w:ind w:right="98"/>
                    <w:jc w:val="right"/>
                  </w:pPr>
                  <w:r>
                    <w:rPr>
                      <w:spacing w:val="-1"/>
                    </w:rPr>
                    <w:t>（盖章）</w:t>
                  </w:r>
                </w:p>
              </w:txbxContent>
            </v:textbox>
            <v:stroke dashstyle="solid"/>
          </v:shape>
        </w:pict>
      </w:r>
      <w:r>
        <w:rPr>
          <w:sz w:val="20"/>
        </w:rPr>
      </w:r>
    </w:p>
    <w:p>
      <w:pPr>
        <w:spacing w:after="0"/>
        <w:rPr>
          <w:sz w:val="20"/>
        </w:rPr>
        <w:sectPr>
          <w:pgSz w:w="11910" w:h="16840"/>
          <w:pgMar w:header="877" w:footer="1146" w:top="1420" w:bottom="1340" w:left="1200" w:right="1340"/>
        </w:sectPr>
      </w:pPr>
    </w:p>
    <w:p>
      <w:pPr>
        <w:pStyle w:val="BodyText"/>
        <w:spacing w:before="18"/>
        <w:rPr>
          <w:sz w:val="7"/>
        </w:rPr>
      </w:pPr>
    </w:p>
    <w:p>
      <w:pPr>
        <w:pStyle w:val="Heading1"/>
        <w:numPr>
          <w:ilvl w:val="0"/>
          <w:numId w:val="2"/>
        </w:numPr>
        <w:tabs>
          <w:tab w:pos="519" w:val="left" w:leader="none"/>
          <w:tab w:pos="520" w:val="left" w:leader="none"/>
        </w:tabs>
        <w:spacing w:line="590" w:lineRule="exact" w:before="0" w:after="0"/>
        <w:ind w:left="520" w:right="0" w:hanging="420"/>
        <w:jc w:val="left"/>
        <w:rPr>
          <w:rFonts w:ascii="Noto Sans CJK JP Regular" w:eastAsia="Noto Sans CJK JP Regular" w:hint="eastAsia"/>
        </w:rPr>
      </w:pPr>
      <w:r>
        <w:rPr/>
        <w:pict>
          <v:line style="position:absolute;mso-position-horizontal-relative:page;mso-position-vertical-relative:paragraph;z-index:-90568" from="78.360001pt,29.687984pt" to="212.420001pt,60.887984pt" stroked="true" strokeweight=".48pt" strokecolor="#000000">
            <v:stroke dashstyle="solid"/>
            <w10:wrap type="none"/>
          </v:line>
        </w:pict>
      </w:r>
      <w:bookmarkStart w:name="_TOC_250005" w:id="6"/>
      <w:bookmarkEnd w:id="6"/>
      <w:r>
        <w:rPr>
          <w:rFonts w:ascii="Noto Sans CJK JP Regular" w:eastAsia="Noto Sans CJK JP Regular" w:hint="eastAsia"/>
        </w:rPr>
        <w:t>环境保护措施执行情况</w:t>
      </w:r>
    </w:p>
    <w:tbl>
      <w:tblPr>
        <w:tblW w:w="0" w:type="auto"/>
        <w:jc w:val="left"/>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1544"/>
        <w:gridCol w:w="7957"/>
        <w:gridCol w:w="6453"/>
        <w:gridCol w:w="3594"/>
      </w:tblGrid>
      <w:tr>
        <w:trPr>
          <w:trHeight w:val="623" w:hRule="atLeast"/>
        </w:trPr>
        <w:tc>
          <w:tcPr>
            <w:tcW w:w="2692" w:type="dxa"/>
            <w:gridSpan w:val="2"/>
          </w:tcPr>
          <w:p>
            <w:pPr>
              <w:pStyle w:val="TableParagraph"/>
              <w:spacing w:line="295" w:lineRule="exact"/>
              <w:ind w:left="107"/>
              <w:rPr>
                <w:sz w:val="21"/>
              </w:rPr>
            </w:pPr>
            <w:r>
              <w:rPr>
                <w:sz w:val="21"/>
              </w:rPr>
              <w:t>项目</w:t>
            </w:r>
          </w:p>
          <w:p>
            <w:pPr>
              <w:pStyle w:val="TableParagraph"/>
              <w:spacing w:line="309" w:lineRule="exact"/>
              <w:ind w:left="107"/>
              <w:rPr>
                <w:sz w:val="21"/>
              </w:rPr>
            </w:pPr>
            <w:r>
              <w:rPr>
                <w:sz w:val="21"/>
              </w:rPr>
              <w:t>阶段</w:t>
            </w:r>
          </w:p>
        </w:tc>
        <w:tc>
          <w:tcPr>
            <w:tcW w:w="7957" w:type="dxa"/>
          </w:tcPr>
          <w:p>
            <w:pPr>
              <w:pStyle w:val="TableParagraph"/>
              <w:spacing w:before="72"/>
              <w:ind w:left="106"/>
              <w:rPr>
                <w:sz w:val="21"/>
              </w:rPr>
            </w:pPr>
            <w:r>
              <w:rPr>
                <w:sz w:val="21"/>
              </w:rPr>
              <w:t>环境影响报告及审批文件中要求的环境保护措施</w:t>
            </w:r>
          </w:p>
        </w:tc>
        <w:tc>
          <w:tcPr>
            <w:tcW w:w="6453" w:type="dxa"/>
          </w:tcPr>
          <w:p>
            <w:pPr>
              <w:pStyle w:val="TableParagraph"/>
              <w:spacing w:before="72"/>
              <w:ind w:left="106"/>
              <w:rPr>
                <w:sz w:val="21"/>
              </w:rPr>
            </w:pPr>
            <w:r>
              <w:rPr>
                <w:sz w:val="21"/>
              </w:rPr>
              <w:t>环境保护措施执行情况</w:t>
            </w:r>
          </w:p>
        </w:tc>
        <w:tc>
          <w:tcPr>
            <w:tcW w:w="3594" w:type="dxa"/>
          </w:tcPr>
          <w:p>
            <w:pPr>
              <w:pStyle w:val="TableParagraph"/>
              <w:spacing w:before="72"/>
              <w:ind w:left="105"/>
              <w:rPr>
                <w:sz w:val="21"/>
              </w:rPr>
            </w:pPr>
            <w:r>
              <w:rPr>
                <w:sz w:val="21"/>
              </w:rPr>
              <w:t>措施的执行效果及未采取措施的原因</w:t>
            </w:r>
          </w:p>
        </w:tc>
      </w:tr>
      <w:tr>
        <w:trPr>
          <w:trHeight w:val="5616" w:hRule="atLeast"/>
        </w:trPr>
        <w:tc>
          <w:tcPr>
            <w:tcW w:w="1148"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9"/>
              </w:rPr>
            </w:pPr>
          </w:p>
          <w:p>
            <w:pPr>
              <w:pStyle w:val="TableParagraph"/>
              <w:ind w:left="107"/>
              <w:rPr>
                <w:sz w:val="21"/>
              </w:rPr>
            </w:pPr>
            <w:r>
              <w:rPr>
                <w:sz w:val="21"/>
              </w:rPr>
              <w:t>施工期</w:t>
            </w:r>
          </w:p>
        </w:tc>
        <w:tc>
          <w:tcPr>
            <w:tcW w:w="1544"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20"/>
              </w:rPr>
            </w:pPr>
          </w:p>
          <w:p>
            <w:pPr>
              <w:pStyle w:val="TableParagraph"/>
              <w:spacing w:line="168" w:lineRule="auto" w:before="1"/>
              <w:ind w:left="107" w:right="95"/>
              <w:rPr>
                <w:sz w:val="21"/>
              </w:rPr>
            </w:pPr>
            <w:r>
              <w:rPr>
                <w:sz w:val="21"/>
              </w:rPr>
              <w:t>扬尘及装修废气防治</w:t>
            </w:r>
          </w:p>
        </w:tc>
        <w:tc>
          <w:tcPr>
            <w:tcW w:w="7957" w:type="dxa"/>
          </w:tcPr>
          <w:p>
            <w:pPr>
              <w:pStyle w:val="TableParagraph"/>
              <w:spacing w:line="168" w:lineRule="auto" w:before="9"/>
              <w:ind w:left="106" w:right="63"/>
              <w:jc w:val="both"/>
              <w:rPr>
                <w:sz w:val="21"/>
              </w:rPr>
            </w:pPr>
            <w:r>
              <w:rPr>
                <w:spacing w:val="-6"/>
                <w:sz w:val="21"/>
              </w:rPr>
              <w:t>环评：①在项目施工期间，对路面勤洒水，以减小施工车辆经过时产生的扬尘对附近</w:t>
            </w:r>
            <w:r>
              <w:rPr>
                <w:spacing w:val="-4"/>
                <w:sz w:val="21"/>
              </w:rPr>
              <w:t>东侧钱隆山庄带来的影响。②谨防运输车辆装载过满，并尽量采取遮盖、密闭措施， </w:t>
            </w:r>
            <w:r>
              <w:rPr>
                <w:spacing w:val="-7"/>
                <w:sz w:val="21"/>
              </w:rPr>
              <w:t>减少沿途抛洒，并及时清扫散落在路面上的泥土和建筑材料，冲洗轮胎，定时洒水压</w:t>
            </w:r>
            <w:r>
              <w:rPr>
                <w:spacing w:val="-6"/>
                <w:sz w:val="21"/>
              </w:rPr>
              <w:t>尘，以减少运输过程中的扬尘。③运土及运粉状建筑材料的运输车辆应采用加盖专用</w:t>
            </w:r>
            <w:r>
              <w:rPr>
                <w:spacing w:val="-7"/>
                <w:sz w:val="21"/>
              </w:rPr>
              <w:t>车辆或者配置防洒落装置，车辆装载不宜过满，保证运输过程中不散落，如需运输灰</w:t>
            </w:r>
            <w:r>
              <w:rPr>
                <w:spacing w:val="-8"/>
                <w:sz w:val="21"/>
              </w:rPr>
              <w:t>渣、水泥等，运输时应采用密闭式槽车，严禁沿路遗洒。④运输车辆进出工地应低速</w:t>
            </w:r>
            <w:r>
              <w:rPr>
                <w:spacing w:val="-9"/>
                <w:sz w:val="21"/>
              </w:rPr>
              <w:t>或限速行驶，减少汽车行驶扬尘。⑤根据主导风向和钱隆山庄、殷湾村等住宅小区的相对位置，对现场合理布局；堆放料场地应尽量远离环境保护目标，对易产生扬尘的</w:t>
            </w:r>
            <w:r>
              <w:rPr>
                <w:spacing w:val="-8"/>
                <w:sz w:val="21"/>
              </w:rPr>
              <w:t>材料实行库存或加盖蓬布，不得露天堆放；对施工现场实行合理化管理，使砂石料统</w:t>
            </w:r>
            <w:r>
              <w:rPr>
                <w:spacing w:val="-9"/>
                <w:sz w:val="21"/>
              </w:rPr>
              <w:t>一堆放，水泥应设散装水泥槽，并尽量减少搬运环节。⑥加强施工工地监督管理，施</w:t>
            </w:r>
            <w:r>
              <w:rPr>
                <w:spacing w:val="-8"/>
                <w:sz w:val="21"/>
              </w:rPr>
              <w:t>工单位采取围档、遮挡、挡板、设置防护网和禁止高空抛物等措施，建筑施工外脚手架一律采用密目网围护，以抑制施工过程中的扬尘量，缩小施工扬尘扩散范围，严禁敞开式作业。⑦开挖的泥土和建筑垃圾要及时运走或者填埋，以防止长期堆放表面干</w:t>
            </w:r>
            <w:r>
              <w:rPr>
                <w:spacing w:val="-9"/>
                <w:sz w:val="21"/>
              </w:rPr>
              <w:t>燥而起尘；应经常洒水使作业面土壤保持较高的湿度；对施工场地内裸露的地面，也</w:t>
            </w:r>
            <w:r>
              <w:rPr>
                <w:spacing w:val="-3"/>
                <w:sz w:val="21"/>
              </w:rPr>
              <w:t>应经常洒水防止扬尘。⑧遇有 </w:t>
            </w:r>
            <w:r>
              <w:rPr>
                <w:rFonts w:ascii="Times New Roman" w:hAnsi="Times New Roman" w:eastAsia="Times New Roman"/>
                <w:sz w:val="21"/>
              </w:rPr>
              <w:t>4 </w:t>
            </w:r>
            <w:r>
              <w:rPr>
                <w:spacing w:val="-3"/>
                <w:sz w:val="21"/>
              </w:rPr>
              <w:t>级以上大风天气预报或市政府发布空气质量预警时， </w:t>
            </w:r>
            <w:r>
              <w:rPr>
                <w:spacing w:val="-7"/>
                <w:sz w:val="21"/>
              </w:rPr>
              <w:t>要求停止施工。⑨要求施工单位采用商品混凝土，禁止现场拌合混凝土。建设单位严</w:t>
            </w:r>
            <w:r>
              <w:rPr>
                <w:spacing w:val="-5"/>
                <w:sz w:val="21"/>
              </w:rPr>
              <w:t>格落实本环评提出的施工期大气污染防治措施，则本项目施工扬尘对周边钱隆山庄、</w:t>
            </w:r>
          </w:p>
          <w:p>
            <w:pPr>
              <w:pStyle w:val="TableParagraph"/>
              <w:spacing w:line="289" w:lineRule="exact"/>
              <w:ind w:left="106"/>
              <w:jc w:val="both"/>
              <w:rPr>
                <w:sz w:val="21"/>
              </w:rPr>
            </w:pPr>
            <w:r>
              <w:rPr>
                <w:sz w:val="21"/>
              </w:rPr>
              <w:t>殷湾村等住宅小区及周围沿线等保护目标影响较小。</w:t>
            </w:r>
          </w:p>
        </w:tc>
        <w:tc>
          <w:tcPr>
            <w:tcW w:w="6453"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11"/>
              </w:rPr>
            </w:pPr>
          </w:p>
          <w:p>
            <w:pPr>
              <w:pStyle w:val="TableParagraph"/>
              <w:spacing w:line="168" w:lineRule="auto"/>
              <w:ind w:left="106" w:right="29"/>
              <w:jc w:val="both"/>
              <w:rPr>
                <w:sz w:val="21"/>
              </w:rPr>
            </w:pPr>
            <w:r>
              <w:rPr>
                <w:spacing w:val="-3"/>
                <w:sz w:val="21"/>
              </w:rPr>
              <w:t>项目施工期间，①运输车辆均采取遮盖、密闭措施，及时冲洗轮胎， </w:t>
            </w:r>
            <w:r>
              <w:rPr>
                <w:spacing w:val="-7"/>
                <w:sz w:val="21"/>
              </w:rPr>
              <w:t>进出工地时均低速行驶，减少汽车行驶扬尘。②现场布局合理，砂石</w:t>
            </w:r>
            <w:r>
              <w:rPr>
                <w:spacing w:val="-5"/>
                <w:sz w:val="21"/>
              </w:rPr>
              <w:t>料统一堆放。③施工工地监督管理到位，施工单位采取围档、遮挡、</w:t>
            </w:r>
            <w:r>
              <w:rPr>
                <w:spacing w:val="-9"/>
                <w:sz w:val="21"/>
              </w:rPr>
              <w:t>挡板、防护网等措施，建筑施工外脚手架采用密目网围护，降低了施</w:t>
            </w:r>
            <w:r>
              <w:rPr>
                <w:spacing w:val="-11"/>
                <w:sz w:val="21"/>
              </w:rPr>
              <w:t>工过程中的扬尘量，无敞开式作业。④开挖的泥土和建筑垃圾及时运</w:t>
            </w:r>
            <w:r>
              <w:rPr>
                <w:spacing w:val="-6"/>
                <w:sz w:val="21"/>
              </w:rPr>
              <w:t>走或者填埋。⑤采用商品混凝土。</w:t>
            </w:r>
          </w:p>
        </w:tc>
        <w:tc>
          <w:tcPr>
            <w:tcW w:w="3594"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23"/>
              </w:rPr>
            </w:pPr>
          </w:p>
          <w:p>
            <w:pPr>
              <w:pStyle w:val="TableParagraph"/>
              <w:ind w:left="105"/>
              <w:rPr>
                <w:sz w:val="21"/>
              </w:rPr>
            </w:pPr>
            <w:r>
              <w:rPr>
                <w:sz w:val="21"/>
              </w:rPr>
              <w:t>对周围环境影响较小</w:t>
            </w:r>
          </w:p>
        </w:tc>
      </w:tr>
      <w:tr>
        <w:trPr>
          <w:trHeight w:val="935" w:hRule="atLeast"/>
        </w:trPr>
        <w:tc>
          <w:tcPr>
            <w:tcW w:w="1148" w:type="dxa"/>
            <w:vMerge/>
            <w:tcBorders>
              <w:top w:val="nil"/>
            </w:tcBorders>
          </w:tcPr>
          <w:p>
            <w:pPr>
              <w:rPr>
                <w:sz w:val="2"/>
                <w:szCs w:val="2"/>
              </w:rPr>
            </w:pPr>
          </w:p>
        </w:tc>
        <w:tc>
          <w:tcPr>
            <w:tcW w:w="1544" w:type="dxa"/>
            <w:vMerge/>
            <w:tcBorders>
              <w:top w:val="nil"/>
            </w:tcBorders>
          </w:tcPr>
          <w:p>
            <w:pPr>
              <w:rPr>
                <w:sz w:val="2"/>
                <w:szCs w:val="2"/>
              </w:rPr>
            </w:pPr>
          </w:p>
        </w:tc>
        <w:tc>
          <w:tcPr>
            <w:tcW w:w="7957" w:type="dxa"/>
          </w:tcPr>
          <w:p>
            <w:pPr>
              <w:pStyle w:val="TableParagraph"/>
              <w:spacing w:line="168" w:lineRule="auto" w:before="9"/>
              <w:ind w:left="106" w:right="92"/>
              <w:rPr>
                <w:sz w:val="21"/>
              </w:rPr>
            </w:pPr>
            <w:r>
              <w:rPr>
                <w:spacing w:val="-6"/>
                <w:sz w:val="21"/>
              </w:rPr>
              <w:t>批复：项目施工期土石方装运需采取防尘措施，及时清理外运弃土、弃渣，临时堆场</w:t>
            </w:r>
            <w:r>
              <w:rPr>
                <w:spacing w:val="-7"/>
                <w:sz w:val="21"/>
              </w:rPr>
              <w:t>要设置围墙和避雨措施，对受项目影响的裸露区域采取合理措施进行修复，同步落实</w:t>
            </w:r>
          </w:p>
          <w:p>
            <w:pPr>
              <w:pStyle w:val="TableParagraph"/>
              <w:spacing w:line="283" w:lineRule="exact"/>
              <w:ind w:left="106"/>
              <w:rPr>
                <w:sz w:val="21"/>
              </w:rPr>
            </w:pPr>
            <w:r>
              <w:rPr>
                <w:sz w:val="21"/>
              </w:rPr>
              <w:t>截洪沟、沉沙池等水土保持措施。</w:t>
            </w:r>
          </w:p>
        </w:tc>
        <w:tc>
          <w:tcPr>
            <w:tcW w:w="6453" w:type="dxa"/>
            <w:vMerge/>
            <w:tcBorders>
              <w:top w:val="nil"/>
            </w:tcBorders>
          </w:tcPr>
          <w:p>
            <w:pPr>
              <w:rPr>
                <w:sz w:val="2"/>
                <w:szCs w:val="2"/>
              </w:rPr>
            </w:pPr>
          </w:p>
        </w:tc>
        <w:tc>
          <w:tcPr>
            <w:tcW w:w="3594" w:type="dxa"/>
            <w:vMerge/>
            <w:tcBorders>
              <w:top w:val="nil"/>
            </w:tcBorders>
          </w:tcPr>
          <w:p>
            <w:pPr>
              <w:rPr>
                <w:sz w:val="2"/>
                <w:szCs w:val="2"/>
              </w:rPr>
            </w:pPr>
          </w:p>
        </w:tc>
      </w:tr>
      <w:tr>
        <w:trPr>
          <w:trHeight w:val="3434" w:hRule="atLeast"/>
        </w:trPr>
        <w:tc>
          <w:tcPr>
            <w:tcW w:w="1148" w:type="dxa"/>
            <w:vMerge/>
            <w:tcBorders>
              <w:top w:val="nil"/>
            </w:tcBorders>
          </w:tcPr>
          <w:p>
            <w:pPr>
              <w:rPr>
                <w:sz w:val="2"/>
                <w:szCs w:val="2"/>
              </w:rPr>
            </w:pPr>
          </w:p>
        </w:tc>
        <w:tc>
          <w:tcPr>
            <w:tcW w:w="1544" w:type="dxa"/>
            <w:vMerge w:val="restart"/>
          </w:tcPr>
          <w:p>
            <w:pPr>
              <w:pStyle w:val="TableParagraph"/>
              <w:rPr>
                <w:sz w:val="20"/>
              </w:rPr>
            </w:pPr>
          </w:p>
          <w:p>
            <w:pPr>
              <w:pStyle w:val="TableParagraph"/>
              <w:rPr>
                <w:sz w:val="20"/>
              </w:rPr>
            </w:pPr>
          </w:p>
          <w:p>
            <w:pPr>
              <w:pStyle w:val="TableParagraph"/>
              <w:rPr>
                <w:sz w:val="20"/>
              </w:rPr>
            </w:pPr>
          </w:p>
          <w:p>
            <w:pPr>
              <w:pStyle w:val="TableParagraph"/>
              <w:spacing w:before="7"/>
              <w:rPr>
                <w:sz w:val="17"/>
              </w:rPr>
            </w:pPr>
          </w:p>
          <w:p>
            <w:pPr>
              <w:pStyle w:val="TableParagraph"/>
              <w:ind w:left="107"/>
              <w:rPr>
                <w:sz w:val="21"/>
              </w:rPr>
            </w:pPr>
            <w:r>
              <w:rPr>
                <w:sz w:val="21"/>
              </w:rPr>
              <w:t>噪声控制</w:t>
            </w:r>
          </w:p>
        </w:tc>
        <w:tc>
          <w:tcPr>
            <w:tcW w:w="7957" w:type="dxa"/>
          </w:tcPr>
          <w:p>
            <w:pPr>
              <w:pStyle w:val="TableParagraph"/>
              <w:spacing w:line="168" w:lineRule="auto" w:before="12"/>
              <w:ind w:left="106" w:right="15"/>
              <w:jc w:val="both"/>
              <w:rPr>
                <w:sz w:val="21"/>
              </w:rPr>
            </w:pPr>
            <w:r>
              <w:rPr>
                <w:spacing w:val="-9"/>
                <w:sz w:val="21"/>
              </w:rPr>
              <w:t>环评：①加强施工管理，合理安排施工作业时间。根据 </w:t>
            </w:r>
            <w:r>
              <w:rPr>
                <w:rFonts w:ascii="Times New Roman" w:hAnsi="Times New Roman" w:eastAsia="Times New Roman"/>
                <w:sz w:val="21"/>
              </w:rPr>
              <w:t>GB12523¬-90 </w:t>
            </w:r>
            <w:r>
              <w:rPr>
                <w:spacing w:val="-6"/>
                <w:sz w:val="21"/>
              </w:rPr>
              <w:t>的规定，夜间严</w:t>
            </w:r>
            <w:r>
              <w:rPr>
                <w:spacing w:val="-7"/>
                <w:sz w:val="21"/>
              </w:rPr>
              <w:t>禁进行高噪声施工作业，如果必须进行夜间连续施工，则应认真执行夜间施工的有关</w:t>
            </w:r>
            <w:r>
              <w:rPr>
                <w:spacing w:val="-8"/>
                <w:sz w:val="21"/>
              </w:rPr>
              <w:t>规定，施工单位要提出书面申请，经有关部门批复同意后，并尽量缩短工期。对不同</w:t>
            </w:r>
            <w:r>
              <w:rPr>
                <w:spacing w:val="-9"/>
                <w:sz w:val="21"/>
              </w:rPr>
              <w:t>施工阶段，应按《建筑施工场界噪声限值》</w:t>
            </w:r>
            <w:r>
              <w:rPr>
                <w:sz w:val="21"/>
              </w:rPr>
              <w:t>（</w:t>
            </w:r>
            <w:r>
              <w:rPr>
                <w:rFonts w:ascii="Times New Roman" w:hAnsi="Times New Roman" w:eastAsia="Times New Roman"/>
                <w:sz w:val="21"/>
              </w:rPr>
              <w:t>GB2523-90</w:t>
            </w:r>
            <w:r>
              <w:rPr>
                <w:sz w:val="21"/>
              </w:rPr>
              <w:t>）</w:t>
            </w:r>
            <w:r>
              <w:rPr>
                <w:spacing w:val="-3"/>
                <w:sz w:val="21"/>
              </w:rPr>
              <w:t>对施工场界进行噪声控制。</w:t>
            </w:r>
          </w:p>
          <w:p>
            <w:pPr>
              <w:pStyle w:val="TableParagraph"/>
              <w:spacing w:line="168" w:lineRule="auto" w:before="1"/>
              <w:ind w:left="106" w:right="92"/>
              <w:jc w:val="both"/>
              <w:rPr>
                <w:sz w:val="21"/>
              </w:rPr>
            </w:pPr>
            <w:r>
              <w:rPr>
                <w:sz w:val="21"/>
              </w:rPr>
              <w:t>②合理科学地布置施工现场，施工机械应尽可能放置于对场界外造成影响最小的地</w:t>
            </w:r>
            <w:r>
              <w:rPr>
                <w:spacing w:val="-6"/>
                <w:sz w:val="21"/>
              </w:rPr>
              <w:t>点，在高噪声设备周围设置掩蔽物，对位置相对固定的机械设备，能于棚内操作的尽</w:t>
            </w:r>
            <w:r>
              <w:rPr>
                <w:spacing w:val="-8"/>
                <w:sz w:val="21"/>
              </w:rPr>
              <w:t>量进入操作间。③降低人为噪声，降低设备声级。设备选型上尽量采用低噪设备，以</w:t>
            </w:r>
            <w:r>
              <w:rPr>
                <w:sz w:val="21"/>
              </w:rPr>
              <w:t>液压工具代替气压工具。可通过排气管消音器和隔离发动机振动部件的方法降低噪</w:t>
            </w:r>
            <w:r>
              <w:rPr>
                <w:spacing w:val="-6"/>
                <w:sz w:val="21"/>
              </w:rPr>
              <w:t>声；对动力机械设备进行定期的维修、养护，维护不良的设备常因松动部件的振动或消声器的损坏而增加其工作时声级；闲置不用的设备应立即关闭；运输车辆进入现场</w:t>
            </w:r>
          </w:p>
          <w:p>
            <w:pPr>
              <w:pStyle w:val="TableParagraph"/>
              <w:spacing w:line="285" w:lineRule="exact"/>
              <w:ind w:left="106"/>
              <w:jc w:val="both"/>
              <w:rPr>
                <w:sz w:val="21"/>
              </w:rPr>
            </w:pPr>
            <w:r>
              <w:rPr>
                <w:sz w:val="21"/>
              </w:rPr>
              <w:t>应减速，禁鸣喇叭。④采用商品混凝土，减少混凝土搅拌时产生噪声。</w:t>
            </w:r>
          </w:p>
        </w:tc>
        <w:tc>
          <w:tcPr>
            <w:tcW w:w="6453" w:type="dxa"/>
            <w:vMerge w:val="restart"/>
          </w:tcPr>
          <w:p>
            <w:pPr>
              <w:pStyle w:val="TableParagraph"/>
              <w:rPr>
                <w:sz w:val="20"/>
              </w:rPr>
            </w:pPr>
          </w:p>
          <w:p>
            <w:pPr>
              <w:pStyle w:val="TableParagraph"/>
              <w:rPr>
                <w:sz w:val="20"/>
              </w:rPr>
            </w:pPr>
          </w:p>
          <w:p>
            <w:pPr>
              <w:pStyle w:val="TableParagraph"/>
              <w:spacing w:before="13"/>
              <w:rPr>
                <w:sz w:val="19"/>
              </w:rPr>
            </w:pPr>
          </w:p>
          <w:p>
            <w:pPr>
              <w:pStyle w:val="TableParagraph"/>
              <w:spacing w:line="168" w:lineRule="auto" w:before="1"/>
              <w:ind w:left="106" w:right="-15" w:firstLine="420"/>
              <w:jc w:val="both"/>
              <w:rPr>
                <w:sz w:val="21"/>
              </w:rPr>
            </w:pPr>
            <w:r>
              <w:rPr>
                <w:spacing w:val="-9"/>
                <w:sz w:val="21"/>
              </w:rPr>
              <w:t>项目施工期间，①合理安排施工作业时间，夜间未进行高噪声施</w:t>
            </w:r>
            <w:r>
              <w:rPr>
                <w:spacing w:val="-11"/>
                <w:sz w:val="21"/>
              </w:rPr>
              <w:t>工作业。②合理布置施工现场，施工机械应尽可能放置于对场界外造成影响最小的地点。③降低人为噪声，选用低噪设备。④运输车辆进</w:t>
            </w:r>
            <w:r>
              <w:rPr>
                <w:spacing w:val="-17"/>
                <w:sz w:val="21"/>
              </w:rPr>
              <w:t>入现场减速，禁鸣。⑤采用商品混凝土，减少混凝土搅拌时产生噪声。</w:t>
            </w:r>
          </w:p>
        </w:tc>
        <w:tc>
          <w:tcPr>
            <w:tcW w:w="3594" w:type="dxa"/>
            <w:vMerge w:val="restart"/>
          </w:tcPr>
          <w:p>
            <w:pPr>
              <w:pStyle w:val="TableParagraph"/>
              <w:rPr>
                <w:sz w:val="20"/>
              </w:rPr>
            </w:pPr>
          </w:p>
          <w:p>
            <w:pPr>
              <w:pStyle w:val="TableParagraph"/>
              <w:rPr>
                <w:sz w:val="20"/>
              </w:rPr>
            </w:pPr>
          </w:p>
          <w:p>
            <w:pPr>
              <w:pStyle w:val="TableParagraph"/>
              <w:rPr>
                <w:sz w:val="20"/>
              </w:rPr>
            </w:pPr>
          </w:p>
          <w:p>
            <w:pPr>
              <w:pStyle w:val="TableParagraph"/>
              <w:spacing w:before="7"/>
              <w:rPr>
                <w:sz w:val="17"/>
              </w:rPr>
            </w:pPr>
          </w:p>
          <w:p>
            <w:pPr>
              <w:pStyle w:val="TableParagraph"/>
              <w:ind w:left="105"/>
              <w:rPr>
                <w:sz w:val="21"/>
              </w:rPr>
            </w:pPr>
            <w:r>
              <w:rPr>
                <w:sz w:val="21"/>
              </w:rPr>
              <w:t>对周围环境影响较小</w:t>
            </w:r>
          </w:p>
        </w:tc>
      </w:tr>
      <w:tr>
        <w:trPr>
          <w:trHeight w:val="311" w:hRule="atLeast"/>
        </w:trPr>
        <w:tc>
          <w:tcPr>
            <w:tcW w:w="1148" w:type="dxa"/>
            <w:vMerge/>
            <w:tcBorders>
              <w:top w:val="nil"/>
            </w:tcBorders>
          </w:tcPr>
          <w:p>
            <w:pPr>
              <w:rPr>
                <w:sz w:val="2"/>
                <w:szCs w:val="2"/>
              </w:rPr>
            </w:pPr>
          </w:p>
        </w:tc>
        <w:tc>
          <w:tcPr>
            <w:tcW w:w="1544" w:type="dxa"/>
            <w:vMerge/>
            <w:tcBorders>
              <w:top w:val="nil"/>
            </w:tcBorders>
          </w:tcPr>
          <w:p>
            <w:pPr>
              <w:rPr>
                <w:sz w:val="2"/>
                <w:szCs w:val="2"/>
              </w:rPr>
            </w:pPr>
          </w:p>
        </w:tc>
        <w:tc>
          <w:tcPr>
            <w:tcW w:w="7957" w:type="dxa"/>
          </w:tcPr>
          <w:p>
            <w:pPr>
              <w:pStyle w:val="TableParagraph"/>
              <w:spacing w:line="292" w:lineRule="exact"/>
              <w:ind w:left="106"/>
              <w:rPr>
                <w:sz w:val="21"/>
              </w:rPr>
            </w:pPr>
            <w:r>
              <w:rPr>
                <w:sz w:val="21"/>
              </w:rPr>
              <w:t>批复：项目施工期严格控制各施工设备的噪声，禁止夜间打桩。</w:t>
            </w:r>
          </w:p>
        </w:tc>
        <w:tc>
          <w:tcPr>
            <w:tcW w:w="6453" w:type="dxa"/>
            <w:vMerge/>
            <w:tcBorders>
              <w:top w:val="nil"/>
            </w:tcBorders>
          </w:tcPr>
          <w:p>
            <w:pPr>
              <w:rPr>
                <w:sz w:val="2"/>
                <w:szCs w:val="2"/>
              </w:rPr>
            </w:pPr>
          </w:p>
        </w:tc>
        <w:tc>
          <w:tcPr>
            <w:tcW w:w="3594" w:type="dxa"/>
            <w:vMerge/>
            <w:tcBorders>
              <w:top w:val="nil"/>
            </w:tcBorders>
          </w:tcPr>
          <w:p>
            <w:pPr>
              <w:rPr>
                <w:sz w:val="2"/>
                <w:szCs w:val="2"/>
              </w:rPr>
            </w:pPr>
          </w:p>
        </w:tc>
      </w:tr>
      <w:tr>
        <w:trPr>
          <w:trHeight w:val="1560" w:hRule="atLeast"/>
        </w:trPr>
        <w:tc>
          <w:tcPr>
            <w:tcW w:w="1148" w:type="dxa"/>
            <w:vMerge/>
            <w:tcBorders>
              <w:top w:val="nil"/>
            </w:tcBorders>
          </w:tcPr>
          <w:p>
            <w:pPr>
              <w:rPr>
                <w:sz w:val="2"/>
                <w:szCs w:val="2"/>
              </w:rPr>
            </w:pPr>
          </w:p>
        </w:tc>
        <w:tc>
          <w:tcPr>
            <w:tcW w:w="1544" w:type="dxa"/>
          </w:tcPr>
          <w:p>
            <w:pPr>
              <w:pStyle w:val="TableParagraph"/>
              <w:spacing w:before="10"/>
              <w:rPr>
                <w:sz w:val="25"/>
              </w:rPr>
            </w:pPr>
          </w:p>
          <w:p>
            <w:pPr>
              <w:pStyle w:val="TableParagraph"/>
              <w:ind w:left="107"/>
              <w:rPr>
                <w:sz w:val="21"/>
              </w:rPr>
            </w:pPr>
            <w:r>
              <w:rPr>
                <w:sz w:val="21"/>
              </w:rPr>
              <w:t>废水处理</w:t>
            </w:r>
          </w:p>
        </w:tc>
        <w:tc>
          <w:tcPr>
            <w:tcW w:w="7957" w:type="dxa"/>
          </w:tcPr>
          <w:p>
            <w:pPr>
              <w:pStyle w:val="TableParagraph"/>
              <w:spacing w:line="168" w:lineRule="auto" w:before="9"/>
              <w:ind w:left="106" w:right="63"/>
              <w:jc w:val="both"/>
              <w:rPr>
                <w:sz w:val="21"/>
              </w:rPr>
            </w:pPr>
            <w:r>
              <w:rPr>
                <w:spacing w:val="-6"/>
                <w:sz w:val="21"/>
              </w:rPr>
              <w:t>环评：施工人员生活废水应合理处置，因此建设单位应尽可能的利用就近的已建生活</w:t>
            </w:r>
            <w:r>
              <w:rPr>
                <w:spacing w:val="-4"/>
                <w:sz w:val="21"/>
              </w:rPr>
              <w:t>设施，无条件的应建设诸如临时食堂、隔油池、临时厕所、化粪池等临时生活设施。</w:t>
            </w:r>
            <w:r>
              <w:rPr>
                <w:sz w:val="21"/>
              </w:rPr>
              <w:t>施工期间食堂产生的含油废水需经隔油池处理后再汇同施工人员一般生活污水排入</w:t>
            </w:r>
            <w:r>
              <w:rPr>
                <w:spacing w:val="-4"/>
                <w:sz w:val="21"/>
              </w:rPr>
              <w:t>临时性污水处理设施处理后达到三级标准排入附近市政污水管网，最后通过宁波市南</w:t>
            </w:r>
          </w:p>
          <w:p>
            <w:pPr>
              <w:pStyle w:val="TableParagraph"/>
              <w:spacing w:line="284" w:lineRule="exact"/>
              <w:ind w:left="106"/>
              <w:jc w:val="both"/>
              <w:rPr>
                <w:sz w:val="21"/>
              </w:rPr>
            </w:pPr>
            <w:r>
              <w:rPr>
                <w:sz w:val="21"/>
              </w:rPr>
              <w:t>区污水处理厂处理排放，对环境影响较小。</w:t>
            </w:r>
          </w:p>
        </w:tc>
        <w:tc>
          <w:tcPr>
            <w:tcW w:w="6453" w:type="dxa"/>
          </w:tcPr>
          <w:p>
            <w:pPr>
              <w:pStyle w:val="TableParagraph"/>
              <w:spacing w:line="168" w:lineRule="auto" w:before="9"/>
              <w:ind w:left="106" w:right="30" w:firstLine="420"/>
              <w:jc w:val="both"/>
              <w:rPr>
                <w:sz w:val="21"/>
              </w:rPr>
            </w:pPr>
            <w:r>
              <w:rPr>
                <w:sz w:val="21"/>
              </w:rPr>
              <w:t>施工期间食堂产生的含油废水经隔油沉淀池预处理后排入化粪</w:t>
            </w:r>
            <w:r>
              <w:rPr>
                <w:spacing w:val="-8"/>
                <w:sz w:val="21"/>
              </w:rPr>
              <w:t>池，一般性生活污水经化粪池处理后通过管道纳入市政污水管网。工</w:t>
            </w:r>
            <w:r>
              <w:rPr>
                <w:spacing w:val="-5"/>
                <w:sz w:val="21"/>
              </w:rPr>
              <w:t>地四周设截水沟收集，预先经隔油、沉淀处理后排入市政污水管网， </w:t>
            </w:r>
            <w:r>
              <w:rPr>
                <w:spacing w:val="-10"/>
                <w:sz w:val="21"/>
              </w:rPr>
              <w:t>泥浆及时清运。施工期间的泥浆水及施工人员的生活污水均未排入东</w:t>
            </w:r>
          </w:p>
          <w:p>
            <w:pPr>
              <w:pStyle w:val="TableParagraph"/>
              <w:spacing w:line="284" w:lineRule="exact"/>
              <w:ind w:left="106"/>
              <w:rPr>
                <w:sz w:val="21"/>
              </w:rPr>
            </w:pPr>
            <w:r>
              <w:rPr>
                <w:sz w:val="21"/>
              </w:rPr>
              <w:t>钱湖。</w:t>
            </w:r>
          </w:p>
        </w:tc>
        <w:tc>
          <w:tcPr>
            <w:tcW w:w="3594" w:type="dxa"/>
          </w:tcPr>
          <w:p>
            <w:pPr>
              <w:pStyle w:val="TableParagraph"/>
              <w:spacing w:before="10"/>
              <w:rPr>
                <w:sz w:val="25"/>
              </w:rPr>
            </w:pPr>
          </w:p>
          <w:p>
            <w:pPr>
              <w:pStyle w:val="TableParagraph"/>
              <w:ind w:left="105"/>
              <w:rPr>
                <w:sz w:val="21"/>
              </w:rPr>
            </w:pPr>
            <w:r>
              <w:rPr>
                <w:sz w:val="21"/>
              </w:rPr>
              <w:t>对周围环境影响较小</w:t>
            </w:r>
          </w:p>
        </w:tc>
      </w:tr>
    </w:tbl>
    <w:p>
      <w:pPr>
        <w:spacing w:after="0"/>
        <w:rPr>
          <w:sz w:val="21"/>
        </w:rPr>
        <w:sectPr>
          <w:headerReference w:type="default" r:id="rId13"/>
          <w:footerReference w:type="default" r:id="rId14"/>
          <w:pgSz w:w="23820" w:h="16840" w:orient="landscape"/>
          <w:pgMar w:header="877" w:footer="1146" w:top="1660" w:bottom="1340" w:left="1340" w:right="1440"/>
          <w:pgNumType w:start="19"/>
        </w:sectPr>
      </w:pPr>
    </w:p>
    <w:p>
      <w:pPr>
        <w:pStyle w:val="BodyText"/>
        <w:rPr>
          <w:rFonts w:ascii="Times New Roman"/>
          <w:sz w:val="11"/>
        </w:rPr>
      </w:pPr>
    </w:p>
    <w:tbl>
      <w:tblPr>
        <w:tblW w:w="0" w:type="auto"/>
        <w:jc w:val="left"/>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1544"/>
        <w:gridCol w:w="7957"/>
        <w:gridCol w:w="6453"/>
        <w:gridCol w:w="3594"/>
      </w:tblGrid>
      <w:tr>
        <w:trPr>
          <w:trHeight w:val="1871" w:hRule="atLeast"/>
        </w:trPr>
        <w:tc>
          <w:tcPr>
            <w:tcW w:w="1148" w:type="dxa"/>
            <w:vMerge w:val="restart"/>
          </w:tcPr>
          <w:p>
            <w:pPr>
              <w:pStyle w:val="TableParagraph"/>
              <w:rPr>
                <w:rFonts w:ascii="Times New Roman"/>
                <w:sz w:val="20"/>
              </w:rPr>
            </w:pPr>
          </w:p>
        </w:tc>
        <w:tc>
          <w:tcPr>
            <w:tcW w:w="1544" w:type="dxa"/>
            <w:vMerge w:val="restart"/>
          </w:tcPr>
          <w:p>
            <w:pPr>
              <w:pStyle w:val="TableParagraph"/>
              <w:rPr>
                <w:rFonts w:ascii="Times New Roman"/>
                <w:sz w:val="20"/>
              </w:rPr>
            </w:pPr>
          </w:p>
        </w:tc>
        <w:tc>
          <w:tcPr>
            <w:tcW w:w="7957" w:type="dxa"/>
          </w:tcPr>
          <w:p>
            <w:pPr>
              <w:pStyle w:val="TableParagraph"/>
              <w:spacing w:line="168" w:lineRule="auto" w:before="15"/>
              <w:ind w:left="106" w:right="63"/>
              <w:jc w:val="both"/>
              <w:rPr>
                <w:sz w:val="21"/>
              </w:rPr>
            </w:pPr>
            <w:r>
              <w:rPr>
                <w:spacing w:val="-3"/>
                <w:sz w:val="21"/>
              </w:rPr>
              <w:t>施工场地含砂径流主要是各种施工机械设备运转的冷却及洗涤用水和施工现场清洗、</w:t>
            </w:r>
            <w:r>
              <w:rPr>
                <w:spacing w:val="-8"/>
                <w:sz w:val="21"/>
              </w:rPr>
              <w:t>建材清洗、混凝土养护、设备水压试验产生的废水。这些废水严禁直排湖内，建议在</w:t>
            </w:r>
            <w:r>
              <w:rPr>
                <w:spacing w:val="-5"/>
                <w:sz w:val="21"/>
              </w:rPr>
              <w:t>施工工地周围设置排水明沟，径流水经沉淀后排入市政污水管网，对环境影响较小。</w:t>
            </w:r>
            <w:r>
              <w:rPr>
                <w:spacing w:val="-7"/>
                <w:sz w:val="21"/>
              </w:rPr>
              <w:t>施工中应严格按照水土保持要求，严禁将施工泥浆、钻渣及建筑垃圾倒入河道，钻孔灌注泥浆水应委托专门机构统一处置。施工泥浆需委托环卫部门定期清运处理；施工</w:t>
            </w:r>
          </w:p>
          <w:p>
            <w:pPr>
              <w:pStyle w:val="TableParagraph"/>
              <w:spacing w:line="278" w:lineRule="exact"/>
              <w:ind w:left="106"/>
              <w:jc w:val="both"/>
              <w:rPr>
                <w:sz w:val="21"/>
              </w:rPr>
            </w:pPr>
            <w:r>
              <w:rPr>
                <w:sz w:val="21"/>
              </w:rPr>
              <w:t>机械严格检查，防止油料泄漏进入水体。</w:t>
            </w:r>
          </w:p>
        </w:tc>
        <w:tc>
          <w:tcPr>
            <w:tcW w:w="6453" w:type="dxa"/>
            <w:vMerge w:val="restart"/>
          </w:tcPr>
          <w:p>
            <w:pPr>
              <w:pStyle w:val="TableParagraph"/>
              <w:rPr>
                <w:rFonts w:ascii="Times New Roman"/>
                <w:sz w:val="20"/>
              </w:rPr>
            </w:pPr>
          </w:p>
        </w:tc>
        <w:tc>
          <w:tcPr>
            <w:tcW w:w="3594" w:type="dxa"/>
            <w:vMerge w:val="restart"/>
          </w:tcPr>
          <w:p>
            <w:pPr>
              <w:pStyle w:val="TableParagraph"/>
              <w:rPr>
                <w:rFonts w:ascii="Times New Roman"/>
                <w:sz w:val="20"/>
              </w:rPr>
            </w:pPr>
          </w:p>
        </w:tc>
      </w:tr>
      <w:tr>
        <w:trPr>
          <w:trHeight w:val="935" w:hRule="atLeast"/>
        </w:trPr>
        <w:tc>
          <w:tcPr>
            <w:tcW w:w="1148" w:type="dxa"/>
            <w:vMerge/>
            <w:tcBorders>
              <w:top w:val="nil"/>
            </w:tcBorders>
          </w:tcPr>
          <w:p>
            <w:pPr>
              <w:rPr>
                <w:sz w:val="2"/>
                <w:szCs w:val="2"/>
              </w:rPr>
            </w:pPr>
          </w:p>
        </w:tc>
        <w:tc>
          <w:tcPr>
            <w:tcW w:w="1544" w:type="dxa"/>
            <w:vMerge/>
            <w:tcBorders>
              <w:top w:val="nil"/>
            </w:tcBorders>
          </w:tcPr>
          <w:p>
            <w:pPr>
              <w:rPr>
                <w:sz w:val="2"/>
                <w:szCs w:val="2"/>
              </w:rPr>
            </w:pPr>
          </w:p>
        </w:tc>
        <w:tc>
          <w:tcPr>
            <w:tcW w:w="7957" w:type="dxa"/>
          </w:tcPr>
          <w:p>
            <w:pPr>
              <w:pStyle w:val="TableParagraph"/>
              <w:spacing w:line="168" w:lineRule="auto" w:before="15"/>
              <w:ind w:left="106" w:right="92"/>
              <w:rPr>
                <w:sz w:val="21"/>
              </w:rPr>
            </w:pPr>
            <w:r>
              <w:rPr>
                <w:spacing w:val="-6"/>
                <w:sz w:val="21"/>
              </w:rPr>
              <w:t>批复：项目施工期泥浆水须经沉淀池沉清后排放至连心路市政污水管道或清运，及时</w:t>
            </w:r>
            <w:r>
              <w:rPr>
                <w:spacing w:val="-7"/>
                <w:sz w:val="21"/>
              </w:rPr>
              <w:t>清运泥浆；施工期间人员生活废水经预处理后，接入连心路市政污水管道或由环卫部</w:t>
            </w:r>
          </w:p>
          <w:p>
            <w:pPr>
              <w:pStyle w:val="TableParagraph"/>
              <w:spacing w:line="277" w:lineRule="exact"/>
              <w:ind w:left="106"/>
              <w:rPr>
                <w:sz w:val="21"/>
              </w:rPr>
            </w:pPr>
            <w:r>
              <w:rPr>
                <w:sz w:val="21"/>
              </w:rPr>
              <w:t>门清运，严禁排入东钱湖。</w:t>
            </w:r>
          </w:p>
        </w:tc>
        <w:tc>
          <w:tcPr>
            <w:tcW w:w="6453" w:type="dxa"/>
            <w:vMerge/>
            <w:tcBorders>
              <w:top w:val="nil"/>
            </w:tcBorders>
          </w:tcPr>
          <w:p>
            <w:pPr>
              <w:rPr>
                <w:sz w:val="2"/>
                <w:szCs w:val="2"/>
              </w:rPr>
            </w:pPr>
          </w:p>
        </w:tc>
        <w:tc>
          <w:tcPr>
            <w:tcW w:w="3594" w:type="dxa"/>
            <w:vMerge/>
            <w:tcBorders>
              <w:top w:val="nil"/>
            </w:tcBorders>
          </w:tcPr>
          <w:p>
            <w:pPr>
              <w:rPr>
                <w:sz w:val="2"/>
                <w:szCs w:val="2"/>
              </w:rPr>
            </w:pPr>
          </w:p>
        </w:tc>
      </w:tr>
      <w:tr>
        <w:trPr>
          <w:trHeight w:val="1248" w:hRule="atLeast"/>
        </w:trPr>
        <w:tc>
          <w:tcPr>
            <w:tcW w:w="1148" w:type="dxa"/>
            <w:vMerge/>
            <w:tcBorders>
              <w:top w:val="nil"/>
            </w:tcBorders>
          </w:tcPr>
          <w:p>
            <w:pPr>
              <w:rPr>
                <w:sz w:val="2"/>
                <w:szCs w:val="2"/>
              </w:rPr>
            </w:pPr>
          </w:p>
        </w:tc>
        <w:tc>
          <w:tcPr>
            <w:tcW w:w="1544"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107"/>
              <w:rPr>
                <w:sz w:val="21"/>
              </w:rPr>
            </w:pPr>
            <w:r>
              <w:rPr>
                <w:sz w:val="21"/>
              </w:rPr>
              <w:t>固废处置</w:t>
            </w:r>
          </w:p>
        </w:tc>
        <w:tc>
          <w:tcPr>
            <w:tcW w:w="7957" w:type="dxa"/>
          </w:tcPr>
          <w:p>
            <w:pPr>
              <w:pStyle w:val="TableParagraph"/>
              <w:spacing w:line="168" w:lineRule="auto" w:before="15"/>
              <w:ind w:left="106" w:right="92"/>
              <w:jc w:val="both"/>
              <w:rPr>
                <w:sz w:val="21"/>
              </w:rPr>
            </w:pPr>
            <w:r>
              <w:rPr>
                <w:spacing w:val="-6"/>
                <w:sz w:val="21"/>
              </w:rPr>
              <w:t>环评：施工期间产生的建筑垃圾、生活垃圾及时进行清理，建筑垃圾要及时清运，防止其因长期堆放而产生扬尘。建设期间对生活垃圾要进行专门收集，并定期将之送往</w:t>
            </w:r>
            <w:r>
              <w:rPr>
                <w:spacing w:val="-7"/>
                <w:sz w:val="21"/>
              </w:rPr>
              <w:t>较近的垃圾场进行卫生填埋处置，严禁乱堆乱扔，以免破坏自然景观，防止产生二次</w:t>
            </w:r>
          </w:p>
          <w:p>
            <w:pPr>
              <w:pStyle w:val="TableParagraph"/>
              <w:spacing w:line="278" w:lineRule="exact"/>
              <w:ind w:left="106"/>
              <w:jc w:val="both"/>
              <w:rPr>
                <w:sz w:val="21"/>
              </w:rPr>
            </w:pPr>
            <w:r>
              <w:rPr>
                <w:sz w:val="21"/>
              </w:rPr>
              <w:t>污染。</w:t>
            </w:r>
          </w:p>
        </w:tc>
        <w:tc>
          <w:tcPr>
            <w:tcW w:w="6453"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106"/>
              <w:rPr>
                <w:sz w:val="21"/>
              </w:rPr>
            </w:pPr>
            <w:r>
              <w:rPr>
                <w:sz w:val="21"/>
              </w:rPr>
              <w:t>建筑垃圾和生活垃圾均及时、定期清运。</w:t>
            </w:r>
          </w:p>
        </w:tc>
        <w:tc>
          <w:tcPr>
            <w:tcW w:w="3594"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105"/>
              <w:rPr>
                <w:sz w:val="21"/>
              </w:rPr>
            </w:pPr>
            <w:r>
              <w:rPr>
                <w:sz w:val="21"/>
              </w:rPr>
              <w:t>对周围环境影响较小</w:t>
            </w:r>
          </w:p>
        </w:tc>
      </w:tr>
      <w:tr>
        <w:trPr>
          <w:trHeight w:val="937" w:hRule="atLeast"/>
        </w:trPr>
        <w:tc>
          <w:tcPr>
            <w:tcW w:w="1148" w:type="dxa"/>
            <w:vMerge/>
            <w:tcBorders>
              <w:top w:val="nil"/>
            </w:tcBorders>
          </w:tcPr>
          <w:p>
            <w:pPr>
              <w:rPr>
                <w:sz w:val="2"/>
                <w:szCs w:val="2"/>
              </w:rPr>
            </w:pPr>
          </w:p>
        </w:tc>
        <w:tc>
          <w:tcPr>
            <w:tcW w:w="1544" w:type="dxa"/>
            <w:vMerge/>
            <w:tcBorders>
              <w:top w:val="nil"/>
            </w:tcBorders>
          </w:tcPr>
          <w:p>
            <w:pPr>
              <w:rPr>
                <w:sz w:val="2"/>
                <w:szCs w:val="2"/>
              </w:rPr>
            </w:pPr>
          </w:p>
        </w:tc>
        <w:tc>
          <w:tcPr>
            <w:tcW w:w="7957" w:type="dxa"/>
          </w:tcPr>
          <w:p>
            <w:pPr>
              <w:pStyle w:val="TableParagraph"/>
              <w:spacing w:line="168" w:lineRule="auto" w:before="17"/>
              <w:ind w:left="106" w:right="92"/>
              <w:rPr>
                <w:sz w:val="21"/>
              </w:rPr>
            </w:pPr>
            <w:r>
              <w:rPr>
                <w:spacing w:val="-6"/>
                <w:sz w:val="21"/>
              </w:rPr>
              <w:t>批复：项目施工期土石方装运需采取防尘措施，及时清理外运弃土、弃渣，临时堆场</w:t>
            </w:r>
            <w:r>
              <w:rPr>
                <w:spacing w:val="-7"/>
                <w:sz w:val="21"/>
              </w:rPr>
              <w:t>要设置围墙和避雨措施，对受项目影响的裸露区域采取合理措施进行修复，同步落实</w:t>
            </w:r>
          </w:p>
          <w:p>
            <w:pPr>
              <w:pStyle w:val="TableParagraph"/>
              <w:spacing w:line="277" w:lineRule="exact"/>
              <w:ind w:left="106"/>
              <w:rPr>
                <w:sz w:val="21"/>
              </w:rPr>
            </w:pPr>
            <w:r>
              <w:rPr>
                <w:sz w:val="21"/>
              </w:rPr>
              <w:t>截洪沟、沉沙池等水土保持措施。</w:t>
            </w:r>
          </w:p>
        </w:tc>
        <w:tc>
          <w:tcPr>
            <w:tcW w:w="6453" w:type="dxa"/>
            <w:vMerge/>
            <w:tcBorders>
              <w:top w:val="nil"/>
            </w:tcBorders>
          </w:tcPr>
          <w:p>
            <w:pPr>
              <w:rPr>
                <w:sz w:val="2"/>
                <w:szCs w:val="2"/>
              </w:rPr>
            </w:pPr>
          </w:p>
        </w:tc>
        <w:tc>
          <w:tcPr>
            <w:tcW w:w="3594" w:type="dxa"/>
            <w:vMerge/>
            <w:tcBorders>
              <w:top w:val="nil"/>
            </w:tcBorders>
          </w:tcPr>
          <w:p>
            <w:pPr>
              <w:rPr>
                <w:sz w:val="2"/>
                <w:szCs w:val="2"/>
              </w:rPr>
            </w:pPr>
          </w:p>
        </w:tc>
      </w:tr>
      <w:tr>
        <w:trPr>
          <w:trHeight w:val="1560" w:hRule="atLeast"/>
        </w:trPr>
        <w:tc>
          <w:tcPr>
            <w:tcW w:w="1148" w:type="dxa"/>
            <w:vMerge/>
            <w:tcBorders>
              <w:top w:val="nil"/>
            </w:tcBorders>
          </w:tcPr>
          <w:p>
            <w:pPr>
              <w:rPr>
                <w:sz w:val="2"/>
                <w:szCs w:val="2"/>
              </w:rPr>
            </w:pPr>
          </w:p>
        </w:tc>
        <w:tc>
          <w:tcPr>
            <w:tcW w:w="1544"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7"/>
              <w:rPr>
                <w:sz w:val="21"/>
              </w:rPr>
            </w:pPr>
            <w:r>
              <w:rPr>
                <w:sz w:val="21"/>
              </w:rPr>
              <w:t>生态保护</w:t>
            </w:r>
          </w:p>
        </w:tc>
        <w:tc>
          <w:tcPr>
            <w:tcW w:w="7957" w:type="dxa"/>
          </w:tcPr>
          <w:p>
            <w:pPr>
              <w:pStyle w:val="TableParagraph"/>
              <w:spacing w:line="168" w:lineRule="auto" w:before="15"/>
              <w:ind w:left="106" w:right="63"/>
              <w:jc w:val="both"/>
              <w:rPr>
                <w:sz w:val="21"/>
              </w:rPr>
            </w:pPr>
            <w:r>
              <w:rPr>
                <w:sz w:val="21"/>
              </w:rPr>
              <w:t>环评中水土流失防治措施：施工过程中施工单位和监理单位要加强现场监督，禁止将开挖土石方倾入道路、河流。在施工过程中，开挖的土石方及时调运用于地基填筑， 不得将土石方及建筑垃圾随意弃置于河道中，确保河道通畅。本区除主体工程设计中具有水土保持功能的措施外，主要是做好施工过程中的水土保持管理和临时防护措</w:t>
            </w:r>
          </w:p>
          <w:p>
            <w:pPr>
              <w:pStyle w:val="TableParagraph"/>
              <w:spacing w:line="278" w:lineRule="exact"/>
              <w:ind w:left="106"/>
              <w:jc w:val="both"/>
              <w:rPr>
                <w:sz w:val="21"/>
              </w:rPr>
            </w:pPr>
            <w:r>
              <w:rPr>
                <w:sz w:val="21"/>
              </w:rPr>
              <w:t>施，设置泥浆沉淀池。</w:t>
            </w:r>
          </w:p>
        </w:tc>
        <w:tc>
          <w:tcPr>
            <w:tcW w:w="6453"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3"/>
              </w:rPr>
            </w:pPr>
          </w:p>
          <w:p>
            <w:pPr>
              <w:pStyle w:val="TableParagraph"/>
              <w:spacing w:line="168" w:lineRule="auto"/>
              <w:ind w:left="106" w:right="93"/>
              <w:rPr>
                <w:sz w:val="21"/>
              </w:rPr>
            </w:pPr>
            <w:r>
              <w:rPr>
                <w:spacing w:val="-7"/>
                <w:sz w:val="21"/>
              </w:rPr>
              <w:t>施工过程中未将开挖土石方倾入道路、河流。在施工过程中，施工过</w:t>
            </w:r>
            <w:r>
              <w:rPr>
                <w:spacing w:val="-5"/>
                <w:sz w:val="21"/>
              </w:rPr>
              <w:t>程中设置了泥浆沉淀池。</w:t>
            </w:r>
          </w:p>
        </w:tc>
        <w:tc>
          <w:tcPr>
            <w:tcW w:w="3594"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5"/>
              <w:rPr>
                <w:sz w:val="21"/>
              </w:rPr>
            </w:pPr>
            <w:r>
              <w:rPr>
                <w:sz w:val="21"/>
              </w:rPr>
              <w:t>对周围环境影响较小</w:t>
            </w:r>
          </w:p>
        </w:tc>
      </w:tr>
      <w:tr>
        <w:trPr>
          <w:trHeight w:val="935" w:hRule="atLeast"/>
        </w:trPr>
        <w:tc>
          <w:tcPr>
            <w:tcW w:w="1148" w:type="dxa"/>
            <w:vMerge/>
            <w:tcBorders>
              <w:top w:val="nil"/>
            </w:tcBorders>
          </w:tcPr>
          <w:p>
            <w:pPr>
              <w:rPr>
                <w:sz w:val="2"/>
                <w:szCs w:val="2"/>
              </w:rPr>
            </w:pPr>
          </w:p>
        </w:tc>
        <w:tc>
          <w:tcPr>
            <w:tcW w:w="1544" w:type="dxa"/>
            <w:vMerge/>
            <w:tcBorders>
              <w:top w:val="nil"/>
            </w:tcBorders>
          </w:tcPr>
          <w:p>
            <w:pPr>
              <w:rPr>
                <w:sz w:val="2"/>
                <w:szCs w:val="2"/>
              </w:rPr>
            </w:pPr>
          </w:p>
        </w:tc>
        <w:tc>
          <w:tcPr>
            <w:tcW w:w="7957" w:type="dxa"/>
          </w:tcPr>
          <w:p>
            <w:pPr>
              <w:pStyle w:val="TableParagraph"/>
              <w:spacing w:line="168" w:lineRule="auto" w:before="15"/>
              <w:ind w:left="106" w:right="92"/>
              <w:rPr>
                <w:sz w:val="21"/>
              </w:rPr>
            </w:pPr>
            <w:r>
              <w:rPr>
                <w:spacing w:val="-6"/>
                <w:sz w:val="21"/>
              </w:rPr>
              <w:t>批复：项目施工期土石方装运需采取防尘措施，及时清理外运弃土、弃渣，临时堆场</w:t>
            </w:r>
            <w:r>
              <w:rPr>
                <w:spacing w:val="-7"/>
                <w:sz w:val="21"/>
              </w:rPr>
              <w:t>要设置围墙和避雨措施，对受项目影响的裸露区域采取合理措施进行修复，同步落实</w:t>
            </w:r>
          </w:p>
          <w:p>
            <w:pPr>
              <w:pStyle w:val="TableParagraph"/>
              <w:spacing w:line="277" w:lineRule="exact"/>
              <w:ind w:left="106"/>
              <w:rPr>
                <w:sz w:val="21"/>
              </w:rPr>
            </w:pPr>
            <w:r>
              <w:rPr>
                <w:sz w:val="21"/>
              </w:rPr>
              <w:t>截洪沟、沉沙池等水土保持措施</w:t>
            </w:r>
          </w:p>
        </w:tc>
        <w:tc>
          <w:tcPr>
            <w:tcW w:w="6453" w:type="dxa"/>
            <w:vMerge/>
            <w:tcBorders>
              <w:top w:val="nil"/>
            </w:tcBorders>
          </w:tcPr>
          <w:p>
            <w:pPr>
              <w:rPr>
                <w:sz w:val="2"/>
                <w:szCs w:val="2"/>
              </w:rPr>
            </w:pPr>
          </w:p>
        </w:tc>
        <w:tc>
          <w:tcPr>
            <w:tcW w:w="3594" w:type="dxa"/>
            <w:vMerge/>
            <w:tcBorders>
              <w:top w:val="nil"/>
            </w:tcBorders>
          </w:tcPr>
          <w:p>
            <w:pPr>
              <w:rPr>
                <w:sz w:val="2"/>
                <w:szCs w:val="2"/>
              </w:rPr>
            </w:pPr>
          </w:p>
        </w:tc>
      </w:tr>
      <w:tr>
        <w:trPr>
          <w:trHeight w:val="1247" w:hRule="atLeast"/>
        </w:trPr>
        <w:tc>
          <w:tcPr>
            <w:tcW w:w="1148"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ind w:left="107"/>
              <w:rPr>
                <w:sz w:val="21"/>
              </w:rPr>
            </w:pPr>
            <w:r>
              <w:rPr>
                <w:sz w:val="21"/>
              </w:rPr>
              <w:t>营运期</w:t>
            </w:r>
          </w:p>
        </w:tc>
        <w:tc>
          <w:tcPr>
            <w:tcW w:w="1544"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2"/>
              <w:ind w:left="107"/>
              <w:rPr>
                <w:sz w:val="21"/>
              </w:rPr>
            </w:pPr>
            <w:r>
              <w:rPr>
                <w:sz w:val="21"/>
              </w:rPr>
              <w:t>废气治理措施</w:t>
            </w:r>
          </w:p>
        </w:tc>
        <w:tc>
          <w:tcPr>
            <w:tcW w:w="7957" w:type="dxa"/>
          </w:tcPr>
          <w:p>
            <w:pPr>
              <w:pStyle w:val="TableParagraph"/>
              <w:spacing w:line="168" w:lineRule="auto" w:before="15"/>
              <w:ind w:left="106" w:right="-15"/>
              <w:jc w:val="both"/>
              <w:rPr>
                <w:sz w:val="21"/>
              </w:rPr>
            </w:pPr>
            <w:r>
              <w:rPr>
                <w:spacing w:val="-6"/>
                <w:sz w:val="21"/>
              </w:rPr>
              <w:t>环评：①厨房油烟废气通过排烟井道，经过油烟净化装置处理后通过烟道从楼顶以上</w:t>
            </w:r>
            <w:r>
              <w:rPr>
                <w:spacing w:val="-7"/>
                <w:sz w:val="21"/>
              </w:rPr>
              <w:t>排放，则对周围环境影响较小。②汽车尾气由风机抽送，并经通风竖井在建筑物屋顶</w:t>
            </w:r>
            <w:r>
              <w:rPr>
                <w:spacing w:val="-5"/>
                <w:w w:val="100"/>
                <w:sz w:val="21"/>
              </w:rPr>
              <w:t>高空排放</w:t>
            </w:r>
            <w:r>
              <w:rPr>
                <w:rFonts w:ascii="Times New Roman" w:hAnsi="Times New Roman" w:eastAsia="Times New Roman"/>
                <w:spacing w:val="-1"/>
                <w:w w:val="100"/>
                <w:sz w:val="21"/>
              </w:rPr>
              <w:t>(</w:t>
            </w:r>
            <w:r>
              <w:rPr>
                <w:spacing w:val="-3"/>
                <w:w w:val="100"/>
                <w:sz w:val="21"/>
              </w:rPr>
              <w:t>高架点源</w:t>
            </w:r>
            <w:r>
              <w:rPr>
                <w:rFonts w:ascii="Times New Roman" w:hAnsi="Times New Roman" w:eastAsia="Times New Roman"/>
                <w:spacing w:val="-4"/>
                <w:w w:val="100"/>
                <w:sz w:val="21"/>
              </w:rPr>
              <w:t>)</w:t>
            </w:r>
            <w:r>
              <w:rPr>
                <w:spacing w:val="-12"/>
                <w:w w:val="100"/>
                <w:sz w:val="21"/>
              </w:rPr>
              <w:t>，另有部分废气经地下车库出入口向外扩散</w:t>
            </w:r>
            <w:r>
              <w:rPr>
                <w:rFonts w:ascii="Times New Roman" w:hAnsi="Times New Roman" w:eastAsia="Times New Roman"/>
                <w:spacing w:val="-4"/>
                <w:w w:val="100"/>
                <w:sz w:val="21"/>
              </w:rPr>
              <w:t>(</w:t>
            </w:r>
            <w:r>
              <w:rPr>
                <w:w w:val="100"/>
                <w:sz w:val="21"/>
              </w:rPr>
              <w:t>面源</w:t>
            </w:r>
            <w:r>
              <w:rPr>
                <w:rFonts w:ascii="Times New Roman" w:hAnsi="Times New Roman" w:eastAsia="Times New Roman"/>
                <w:spacing w:val="-4"/>
                <w:w w:val="100"/>
                <w:sz w:val="21"/>
              </w:rPr>
              <w:t>)</w:t>
            </w:r>
            <w:r>
              <w:rPr>
                <w:spacing w:val="-16"/>
                <w:w w:val="100"/>
                <w:sz w:val="21"/>
              </w:rPr>
              <w:t>，属无组织排放。</w:t>
            </w:r>
          </w:p>
          <w:p>
            <w:pPr>
              <w:pStyle w:val="TableParagraph"/>
              <w:spacing w:line="278" w:lineRule="exact"/>
              <w:ind w:left="106"/>
              <w:jc w:val="both"/>
              <w:rPr>
                <w:sz w:val="21"/>
              </w:rPr>
            </w:pPr>
            <w:r>
              <w:rPr>
                <w:sz w:val="21"/>
              </w:rPr>
              <w:t>③锅炉废气通过排气筒从会议中心屋顶以上排放，对环境影响较小。</w:t>
            </w:r>
          </w:p>
        </w:tc>
        <w:tc>
          <w:tcPr>
            <w:tcW w:w="6453" w:type="dxa"/>
            <w:vMerge w:val="restart"/>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spacing w:line="168" w:lineRule="auto"/>
              <w:ind w:left="106" w:right="93"/>
              <w:jc w:val="both"/>
              <w:rPr>
                <w:sz w:val="21"/>
              </w:rPr>
            </w:pPr>
            <w:r>
              <w:rPr>
                <w:spacing w:val="-8"/>
                <w:sz w:val="21"/>
              </w:rPr>
              <w:t>本项目为整体工程中的二期工程，运营期不涉及地下车库及炉灶使用</w:t>
            </w:r>
            <w:r>
              <w:rPr>
                <w:spacing w:val="-11"/>
                <w:sz w:val="21"/>
              </w:rPr>
              <w:t>所排放的废气，主要废气为公共卫生间机械通风产生的废气，已集中</w:t>
            </w:r>
            <w:r>
              <w:rPr>
                <w:spacing w:val="-6"/>
                <w:sz w:val="21"/>
              </w:rPr>
              <w:t>至楼顶排放。</w:t>
            </w:r>
          </w:p>
        </w:tc>
        <w:tc>
          <w:tcPr>
            <w:tcW w:w="3594"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2"/>
              <w:ind w:left="105"/>
              <w:rPr>
                <w:sz w:val="21"/>
              </w:rPr>
            </w:pPr>
            <w:r>
              <w:rPr>
                <w:sz w:val="21"/>
              </w:rPr>
              <w:t>对周边及小区环境影响较小。</w:t>
            </w:r>
          </w:p>
        </w:tc>
      </w:tr>
      <w:tr>
        <w:trPr>
          <w:trHeight w:val="936" w:hRule="atLeast"/>
        </w:trPr>
        <w:tc>
          <w:tcPr>
            <w:tcW w:w="1148" w:type="dxa"/>
            <w:vMerge/>
            <w:tcBorders>
              <w:top w:val="nil"/>
            </w:tcBorders>
          </w:tcPr>
          <w:p>
            <w:pPr>
              <w:rPr>
                <w:sz w:val="2"/>
                <w:szCs w:val="2"/>
              </w:rPr>
            </w:pPr>
          </w:p>
        </w:tc>
        <w:tc>
          <w:tcPr>
            <w:tcW w:w="1544" w:type="dxa"/>
            <w:vMerge/>
            <w:tcBorders>
              <w:top w:val="nil"/>
            </w:tcBorders>
          </w:tcPr>
          <w:p>
            <w:pPr>
              <w:rPr>
                <w:sz w:val="2"/>
                <w:szCs w:val="2"/>
              </w:rPr>
            </w:pPr>
          </w:p>
        </w:tc>
        <w:tc>
          <w:tcPr>
            <w:tcW w:w="7957" w:type="dxa"/>
          </w:tcPr>
          <w:p>
            <w:pPr>
              <w:pStyle w:val="TableParagraph"/>
              <w:spacing w:line="300" w:lineRule="exact"/>
              <w:ind w:left="106"/>
              <w:rPr>
                <w:rFonts w:ascii="Times New Roman" w:eastAsia="Times New Roman"/>
                <w:sz w:val="21"/>
              </w:rPr>
            </w:pPr>
            <w:r>
              <w:rPr>
                <w:spacing w:val="-1"/>
                <w:sz w:val="21"/>
              </w:rPr>
              <w:t>批复：厨房产生的油烟废气必须经油烟净化装置处理，废气排放执行  </w:t>
            </w:r>
            <w:r>
              <w:rPr>
                <w:rFonts w:ascii="Times New Roman" w:eastAsia="Times New Roman"/>
                <w:sz w:val="21"/>
              </w:rPr>
              <w:t>GB18483-2001</w:t>
            </w:r>
          </w:p>
          <w:p>
            <w:pPr>
              <w:pStyle w:val="TableParagraph"/>
              <w:spacing w:line="312" w:lineRule="exact"/>
              <w:ind w:left="106"/>
              <w:rPr>
                <w:sz w:val="21"/>
              </w:rPr>
            </w:pPr>
            <w:r>
              <w:rPr>
                <w:spacing w:val="-10"/>
                <w:sz w:val="21"/>
              </w:rPr>
              <w:t>《餐饮业油烟排放标准》；经营过程中使用的炉、灶必须采用先进的燃气设备，使用</w:t>
            </w:r>
          </w:p>
          <w:p>
            <w:pPr>
              <w:pStyle w:val="TableParagraph"/>
              <w:spacing w:line="304" w:lineRule="exact"/>
              <w:ind w:left="106"/>
              <w:rPr>
                <w:sz w:val="21"/>
              </w:rPr>
            </w:pPr>
            <w:r>
              <w:rPr>
                <w:sz w:val="21"/>
              </w:rPr>
              <w:t>电、天然气、煤气等清洁能源，不得使用煤</w:t>
            </w:r>
          </w:p>
        </w:tc>
        <w:tc>
          <w:tcPr>
            <w:tcW w:w="6453" w:type="dxa"/>
            <w:vMerge/>
            <w:tcBorders>
              <w:top w:val="nil"/>
            </w:tcBorders>
          </w:tcPr>
          <w:p>
            <w:pPr>
              <w:rPr>
                <w:sz w:val="2"/>
                <w:szCs w:val="2"/>
              </w:rPr>
            </w:pPr>
          </w:p>
        </w:tc>
        <w:tc>
          <w:tcPr>
            <w:tcW w:w="3594" w:type="dxa"/>
            <w:vMerge/>
            <w:tcBorders>
              <w:top w:val="nil"/>
            </w:tcBorders>
          </w:tcPr>
          <w:p>
            <w:pPr>
              <w:rPr>
                <w:sz w:val="2"/>
                <w:szCs w:val="2"/>
              </w:rPr>
            </w:pPr>
          </w:p>
        </w:tc>
      </w:tr>
      <w:tr>
        <w:trPr>
          <w:trHeight w:val="935" w:hRule="atLeast"/>
        </w:trPr>
        <w:tc>
          <w:tcPr>
            <w:tcW w:w="1148" w:type="dxa"/>
            <w:vMerge/>
            <w:tcBorders>
              <w:top w:val="nil"/>
            </w:tcBorders>
          </w:tcPr>
          <w:p>
            <w:pPr>
              <w:rPr>
                <w:sz w:val="2"/>
                <w:szCs w:val="2"/>
              </w:rPr>
            </w:pPr>
          </w:p>
        </w:tc>
        <w:tc>
          <w:tcPr>
            <w:tcW w:w="1544" w:type="dxa"/>
            <w:vMerge w:val="restart"/>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7"/>
              <w:rPr>
                <w:sz w:val="21"/>
              </w:rPr>
            </w:pPr>
            <w:r>
              <w:rPr>
                <w:sz w:val="21"/>
              </w:rPr>
              <w:t>废水治理措施</w:t>
            </w:r>
          </w:p>
        </w:tc>
        <w:tc>
          <w:tcPr>
            <w:tcW w:w="7957" w:type="dxa"/>
          </w:tcPr>
          <w:p>
            <w:pPr>
              <w:pStyle w:val="TableParagraph"/>
              <w:spacing w:line="168" w:lineRule="auto" w:before="15"/>
              <w:ind w:left="106" w:right="92"/>
              <w:rPr>
                <w:sz w:val="21"/>
              </w:rPr>
            </w:pPr>
            <w:r>
              <w:rPr>
                <w:spacing w:val="-6"/>
                <w:sz w:val="21"/>
              </w:rPr>
              <w:t>环评：本项目营运期排水主要为办公、公共卫生间等的生活污水。生活污水经化粪池处理后排入市政污水管网，最终纳入宁波南区污水处理厂处理达到《城镇污水处理厂</w:t>
            </w:r>
          </w:p>
          <w:p>
            <w:pPr>
              <w:pStyle w:val="TableParagraph"/>
              <w:spacing w:line="277" w:lineRule="exact"/>
              <w:ind w:left="106"/>
              <w:rPr>
                <w:sz w:val="21"/>
              </w:rPr>
            </w:pPr>
            <w:r>
              <w:rPr>
                <w:sz w:val="21"/>
              </w:rPr>
              <w:t>污染物排放标准》（</w:t>
            </w:r>
            <w:r>
              <w:rPr>
                <w:rFonts w:ascii="Times New Roman" w:eastAsia="Times New Roman"/>
                <w:sz w:val="21"/>
              </w:rPr>
              <w:t>GB18918-2002</w:t>
            </w:r>
            <w:r>
              <w:rPr>
                <w:sz w:val="21"/>
              </w:rPr>
              <w:t>）一级 </w:t>
            </w:r>
            <w:r>
              <w:rPr>
                <w:rFonts w:ascii="Times New Roman" w:eastAsia="Times New Roman"/>
                <w:sz w:val="21"/>
              </w:rPr>
              <w:t>A </w:t>
            </w:r>
            <w:r>
              <w:rPr>
                <w:sz w:val="21"/>
              </w:rPr>
              <w:t>标准后排放。</w:t>
            </w:r>
          </w:p>
        </w:tc>
        <w:tc>
          <w:tcPr>
            <w:tcW w:w="6453" w:type="dxa"/>
            <w:vMerge w:val="restart"/>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168" w:lineRule="auto"/>
              <w:ind w:left="106" w:right="96"/>
              <w:rPr>
                <w:sz w:val="21"/>
              </w:rPr>
            </w:pPr>
            <w:r>
              <w:rPr>
                <w:spacing w:val="-9"/>
                <w:sz w:val="21"/>
              </w:rPr>
              <w:t>项目已实行雨污分流，已建设化粪池。生活污水可经化粪池处理后接</w:t>
            </w:r>
            <w:r>
              <w:rPr>
                <w:spacing w:val="-5"/>
                <w:sz w:val="21"/>
              </w:rPr>
              <w:t>入市政污水管道，排往宁波市南区污水处理厂。</w:t>
            </w:r>
          </w:p>
        </w:tc>
        <w:tc>
          <w:tcPr>
            <w:tcW w:w="3594" w:type="dxa"/>
            <w:vMerge w:val="restart"/>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5"/>
              <w:rPr>
                <w:sz w:val="21"/>
              </w:rPr>
            </w:pPr>
            <w:r>
              <w:rPr>
                <w:sz w:val="21"/>
              </w:rPr>
              <w:t>对周围环境影响较小</w:t>
            </w:r>
          </w:p>
        </w:tc>
      </w:tr>
      <w:tr>
        <w:trPr>
          <w:trHeight w:val="938" w:hRule="atLeast"/>
        </w:trPr>
        <w:tc>
          <w:tcPr>
            <w:tcW w:w="1148" w:type="dxa"/>
            <w:vMerge/>
            <w:tcBorders>
              <w:top w:val="nil"/>
            </w:tcBorders>
          </w:tcPr>
          <w:p>
            <w:pPr>
              <w:rPr>
                <w:sz w:val="2"/>
                <w:szCs w:val="2"/>
              </w:rPr>
            </w:pPr>
          </w:p>
        </w:tc>
        <w:tc>
          <w:tcPr>
            <w:tcW w:w="1544" w:type="dxa"/>
            <w:vMerge/>
            <w:tcBorders>
              <w:top w:val="nil"/>
            </w:tcBorders>
          </w:tcPr>
          <w:p>
            <w:pPr>
              <w:rPr>
                <w:sz w:val="2"/>
                <w:szCs w:val="2"/>
              </w:rPr>
            </w:pPr>
          </w:p>
        </w:tc>
        <w:tc>
          <w:tcPr>
            <w:tcW w:w="7957" w:type="dxa"/>
          </w:tcPr>
          <w:p>
            <w:pPr>
              <w:pStyle w:val="TableParagraph"/>
              <w:spacing w:line="168" w:lineRule="auto" w:before="17"/>
              <w:ind w:left="106" w:right="15"/>
              <w:rPr>
                <w:sz w:val="21"/>
              </w:rPr>
            </w:pPr>
            <w:r>
              <w:rPr>
                <w:spacing w:val="-6"/>
                <w:sz w:val="21"/>
              </w:rPr>
              <w:t>批复：项目内排水管网必须雨污分流，地下室要求设置污水管，产生的经营废水经过</w:t>
            </w:r>
            <w:r>
              <w:rPr>
                <w:spacing w:val="-4"/>
                <w:sz w:val="21"/>
              </w:rPr>
              <w:t>滤、隔油处理后，接入连心路市政污水管道，排放执行 </w:t>
            </w:r>
            <w:r>
              <w:rPr>
                <w:rFonts w:ascii="Times New Roman" w:eastAsia="Times New Roman"/>
                <w:sz w:val="21"/>
              </w:rPr>
              <w:t>GB8978-1996 </w:t>
            </w:r>
            <w:r>
              <w:rPr>
                <w:spacing w:val="-3"/>
                <w:sz w:val="21"/>
              </w:rPr>
              <w:t>三级排放标准；</w:t>
            </w:r>
          </w:p>
          <w:p>
            <w:pPr>
              <w:pStyle w:val="TableParagraph"/>
              <w:spacing w:line="277" w:lineRule="exact"/>
              <w:ind w:left="106"/>
              <w:rPr>
                <w:sz w:val="21"/>
              </w:rPr>
            </w:pPr>
            <w:r>
              <w:rPr>
                <w:sz w:val="21"/>
              </w:rPr>
              <w:t>本项目雨水接市政雨水管道前要求进行尘沙等预处理</w:t>
            </w:r>
          </w:p>
        </w:tc>
        <w:tc>
          <w:tcPr>
            <w:tcW w:w="6453" w:type="dxa"/>
            <w:vMerge/>
            <w:tcBorders>
              <w:top w:val="nil"/>
            </w:tcBorders>
          </w:tcPr>
          <w:p>
            <w:pPr>
              <w:rPr>
                <w:sz w:val="2"/>
                <w:szCs w:val="2"/>
              </w:rPr>
            </w:pPr>
          </w:p>
        </w:tc>
        <w:tc>
          <w:tcPr>
            <w:tcW w:w="3594" w:type="dxa"/>
            <w:vMerge/>
            <w:tcBorders>
              <w:top w:val="nil"/>
            </w:tcBorders>
          </w:tcPr>
          <w:p>
            <w:pPr>
              <w:rPr>
                <w:sz w:val="2"/>
                <w:szCs w:val="2"/>
              </w:rPr>
            </w:pPr>
          </w:p>
        </w:tc>
      </w:tr>
      <w:tr>
        <w:trPr>
          <w:trHeight w:val="1560" w:hRule="atLeast"/>
        </w:trPr>
        <w:tc>
          <w:tcPr>
            <w:tcW w:w="1148" w:type="dxa"/>
            <w:vMerge/>
            <w:tcBorders>
              <w:top w:val="nil"/>
            </w:tcBorders>
          </w:tcPr>
          <w:p>
            <w:pPr>
              <w:rPr>
                <w:sz w:val="2"/>
                <w:szCs w:val="2"/>
              </w:rPr>
            </w:pPr>
          </w:p>
        </w:tc>
        <w:tc>
          <w:tcPr>
            <w:tcW w:w="1544" w:type="dxa"/>
          </w:tcPr>
          <w:p>
            <w:pPr>
              <w:pStyle w:val="TableParagraph"/>
              <w:rPr>
                <w:rFonts w:ascii="Times New Roman"/>
                <w:sz w:val="20"/>
              </w:rPr>
            </w:pPr>
          </w:p>
          <w:p>
            <w:pPr>
              <w:pStyle w:val="TableParagraph"/>
              <w:spacing w:before="5"/>
              <w:rPr>
                <w:rFonts w:ascii="Times New Roman"/>
                <w:sz w:val="27"/>
              </w:rPr>
            </w:pPr>
          </w:p>
          <w:p>
            <w:pPr>
              <w:pStyle w:val="TableParagraph"/>
              <w:ind w:left="107"/>
              <w:rPr>
                <w:sz w:val="21"/>
              </w:rPr>
            </w:pPr>
            <w:r>
              <w:rPr>
                <w:sz w:val="21"/>
              </w:rPr>
              <w:t>噪声防治措施</w:t>
            </w:r>
          </w:p>
        </w:tc>
        <w:tc>
          <w:tcPr>
            <w:tcW w:w="7957" w:type="dxa"/>
          </w:tcPr>
          <w:p>
            <w:pPr>
              <w:pStyle w:val="TableParagraph"/>
              <w:spacing w:line="168" w:lineRule="auto" w:before="15"/>
              <w:ind w:left="106" w:right="63"/>
              <w:jc w:val="both"/>
              <w:rPr>
                <w:sz w:val="21"/>
              </w:rPr>
            </w:pPr>
            <w:r>
              <w:rPr>
                <w:spacing w:val="-6"/>
                <w:sz w:val="21"/>
              </w:rPr>
              <w:t>环评：本项目噪声来源主要为水泵噪声、变配电设备噪声，地下室风机噪声、空调运</w:t>
            </w:r>
            <w:r>
              <w:rPr>
                <w:spacing w:val="-4"/>
                <w:sz w:val="21"/>
              </w:rPr>
              <w:t>行噪声等。各设备房围墙采用实墙建造并减少开窗，设备运行期间门窗应保持关闭； </w:t>
            </w:r>
            <w:r>
              <w:rPr>
                <w:spacing w:val="-5"/>
                <w:sz w:val="21"/>
              </w:rPr>
              <w:t>安装时采取挠性连接并且底部设减振垫，以确保建筑物隔声减振效果。还可适当采取</w:t>
            </w:r>
            <w:r>
              <w:rPr>
                <w:spacing w:val="-6"/>
                <w:sz w:val="21"/>
              </w:rPr>
              <w:t>安装消声器等隔声防噪措施，确保运行时厂界噪声不超过《社会生活环境噪声排放标</w:t>
            </w:r>
          </w:p>
          <w:p>
            <w:pPr>
              <w:pStyle w:val="TableParagraph"/>
              <w:spacing w:line="278" w:lineRule="exact"/>
              <w:ind w:left="106"/>
              <w:jc w:val="both"/>
              <w:rPr>
                <w:sz w:val="21"/>
              </w:rPr>
            </w:pPr>
            <w:r>
              <w:rPr>
                <w:spacing w:val="-53"/>
                <w:sz w:val="21"/>
              </w:rPr>
              <w:t>准》</w:t>
            </w:r>
            <w:r>
              <w:rPr>
                <w:sz w:val="21"/>
              </w:rPr>
              <w:t>（</w:t>
            </w:r>
            <w:r>
              <w:rPr>
                <w:rFonts w:ascii="Times New Roman" w:eastAsia="Times New Roman"/>
                <w:sz w:val="21"/>
              </w:rPr>
              <w:t>GB 22337-2008</w:t>
            </w:r>
            <w:r>
              <w:rPr>
                <w:sz w:val="21"/>
              </w:rPr>
              <w:t>）</w:t>
            </w:r>
            <w:r>
              <w:rPr>
                <w:rFonts w:ascii="Times New Roman" w:eastAsia="Times New Roman"/>
                <w:sz w:val="21"/>
              </w:rPr>
              <w:t>1 </w:t>
            </w:r>
            <w:r>
              <w:rPr>
                <w:spacing w:val="-1"/>
                <w:sz w:val="21"/>
              </w:rPr>
              <w:t>类标准。</w:t>
            </w:r>
          </w:p>
        </w:tc>
        <w:tc>
          <w:tcPr>
            <w:tcW w:w="6453" w:type="dxa"/>
          </w:tcPr>
          <w:p>
            <w:pPr>
              <w:pStyle w:val="TableParagraph"/>
              <w:spacing w:line="168" w:lineRule="auto" w:before="15"/>
              <w:ind w:left="106" w:right="94"/>
              <w:jc w:val="both"/>
              <w:rPr>
                <w:sz w:val="21"/>
              </w:rPr>
            </w:pPr>
            <w:r>
              <w:rPr>
                <w:rFonts w:ascii="Times New Roman" w:eastAsia="Times New Roman"/>
                <w:sz w:val="21"/>
              </w:rPr>
              <w:t>1</w:t>
            </w:r>
            <w:r>
              <w:rPr>
                <w:sz w:val="21"/>
              </w:rPr>
              <w:t>）本项目生活水泵房、消防水泵房、风机房分布在地下室一层。水</w:t>
            </w:r>
            <w:r>
              <w:rPr>
                <w:spacing w:val="-9"/>
                <w:sz w:val="21"/>
              </w:rPr>
              <w:t>泵、风机等设备选型上充分考虑了节能、低噪环保型设备，同时设置</w:t>
            </w:r>
            <w:r>
              <w:rPr>
                <w:spacing w:val="-10"/>
                <w:sz w:val="21"/>
              </w:rPr>
              <w:t>了水泵混凝土基座，软接等降噪、减振措施，设备房采用混凝土实体墙。</w:t>
            </w:r>
          </w:p>
          <w:p>
            <w:pPr>
              <w:pStyle w:val="TableParagraph"/>
              <w:spacing w:line="278" w:lineRule="exact"/>
              <w:ind w:left="106"/>
              <w:jc w:val="both"/>
              <w:rPr>
                <w:sz w:val="21"/>
              </w:rPr>
            </w:pPr>
            <w:r>
              <w:rPr>
                <w:rFonts w:ascii="Times New Roman" w:eastAsia="Times New Roman"/>
                <w:sz w:val="21"/>
              </w:rPr>
              <w:t>2</w:t>
            </w:r>
            <w:r>
              <w:rPr>
                <w:sz w:val="21"/>
              </w:rPr>
              <w:t>）已购置低噪声、低振动的设备。</w:t>
            </w:r>
          </w:p>
        </w:tc>
        <w:tc>
          <w:tcPr>
            <w:tcW w:w="3594" w:type="dxa"/>
          </w:tcPr>
          <w:p>
            <w:pPr>
              <w:pStyle w:val="TableParagraph"/>
              <w:rPr>
                <w:rFonts w:ascii="Times New Roman"/>
                <w:sz w:val="20"/>
              </w:rPr>
            </w:pPr>
          </w:p>
          <w:p>
            <w:pPr>
              <w:pStyle w:val="TableParagraph"/>
              <w:spacing w:before="5"/>
              <w:rPr>
                <w:rFonts w:ascii="Times New Roman"/>
                <w:sz w:val="27"/>
              </w:rPr>
            </w:pPr>
          </w:p>
          <w:p>
            <w:pPr>
              <w:pStyle w:val="TableParagraph"/>
              <w:ind w:left="105"/>
              <w:rPr>
                <w:sz w:val="21"/>
              </w:rPr>
            </w:pPr>
            <w:r>
              <w:rPr>
                <w:sz w:val="21"/>
              </w:rPr>
              <w:t>对周围环境影响较小。</w:t>
            </w:r>
          </w:p>
        </w:tc>
      </w:tr>
    </w:tbl>
    <w:p>
      <w:pPr>
        <w:spacing w:after="0"/>
        <w:rPr>
          <w:sz w:val="21"/>
        </w:rPr>
        <w:sectPr>
          <w:pgSz w:w="23820" w:h="16840" w:orient="landscape"/>
          <w:pgMar w:header="877" w:footer="1146" w:top="1660" w:bottom="1340" w:left="1340" w:right="1440"/>
        </w:sectPr>
      </w:pPr>
    </w:p>
    <w:p>
      <w:pPr>
        <w:pStyle w:val="BodyText"/>
        <w:rPr>
          <w:rFonts w:ascii="Times New Roman"/>
          <w:sz w:val="11"/>
        </w:rPr>
      </w:pPr>
    </w:p>
    <w:tbl>
      <w:tblPr>
        <w:tblW w:w="0" w:type="auto"/>
        <w:jc w:val="left"/>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1544"/>
        <w:gridCol w:w="7957"/>
        <w:gridCol w:w="6453"/>
        <w:gridCol w:w="3594"/>
      </w:tblGrid>
      <w:tr>
        <w:trPr>
          <w:trHeight w:val="1555" w:hRule="atLeast"/>
        </w:trPr>
        <w:tc>
          <w:tcPr>
            <w:tcW w:w="1148" w:type="dxa"/>
            <w:vMerge w:val="restart"/>
          </w:tcPr>
          <w:p>
            <w:pPr>
              <w:pStyle w:val="TableParagraph"/>
              <w:rPr>
                <w:rFonts w:ascii="Times New Roman"/>
                <w:sz w:val="20"/>
              </w:rPr>
            </w:pPr>
          </w:p>
        </w:tc>
        <w:tc>
          <w:tcPr>
            <w:tcW w:w="1544" w:type="dxa"/>
            <w:vMerge w:val="restart"/>
          </w:tcPr>
          <w:p>
            <w:pPr>
              <w:pStyle w:val="TableParagraph"/>
              <w:rPr>
                <w:rFonts w:ascii="Times New Roman"/>
                <w:sz w:val="20"/>
              </w:rPr>
            </w:pPr>
          </w:p>
        </w:tc>
        <w:tc>
          <w:tcPr>
            <w:tcW w:w="7957" w:type="dxa"/>
            <w:tcBorders>
              <w:bottom w:val="nil"/>
            </w:tcBorders>
          </w:tcPr>
          <w:p>
            <w:pPr>
              <w:pStyle w:val="TableParagraph"/>
              <w:spacing w:line="168" w:lineRule="auto" w:before="15"/>
              <w:ind w:left="106" w:right="51"/>
              <w:jc w:val="both"/>
              <w:rPr>
                <w:sz w:val="21"/>
              </w:rPr>
            </w:pPr>
            <w:r>
              <w:rPr>
                <w:spacing w:val="-6"/>
                <w:sz w:val="21"/>
              </w:rPr>
              <w:t>批复：加强生产经营管理，进行有效隔声、隔热，减少噪声和热辐射对周围环境的不</w:t>
            </w:r>
            <w:r>
              <w:rPr>
                <w:spacing w:val="-2"/>
                <w:sz w:val="21"/>
              </w:rPr>
              <w:t>良影响，晚上 </w:t>
            </w:r>
            <w:r>
              <w:rPr>
                <w:rFonts w:ascii="Times New Roman" w:eastAsia="Times New Roman"/>
                <w:sz w:val="21"/>
              </w:rPr>
              <w:t>10:00</w:t>
            </w:r>
            <w:r>
              <w:rPr>
                <w:rFonts w:ascii="Times New Roman" w:eastAsia="Times New Roman"/>
                <w:spacing w:val="8"/>
                <w:sz w:val="21"/>
              </w:rPr>
              <w:t> </w:t>
            </w:r>
            <w:r>
              <w:rPr>
                <w:spacing w:val="2"/>
                <w:sz w:val="21"/>
              </w:rPr>
              <w:t>到凌晨 </w:t>
            </w:r>
            <w:r>
              <w:rPr>
                <w:rFonts w:ascii="Times New Roman" w:eastAsia="Times New Roman"/>
                <w:sz w:val="21"/>
              </w:rPr>
              <w:t>6:00</w:t>
            </w:r>
            <w:r>
              <w:rPr>
                <w:rFonts w:ascii="Times New Roman" w:eastAsia="Times New Roman"/>
                <w:spacing w:val="5"/>
                <w:sz w:val="21"/>
              </w:rPr>
              <w:t> </w:t>
            </w:r>
            <w:r>
              <w:rPr>
                <w:spacing w:val="-3"/>
                <w:sz w:val="21"/>
              </w:rPr>
              <w:t>不得从事有噪声污染的经营活动。项目布局设计时， </w:t>
            </w:r>
            <w:r>
              <w:rPr>
                <w:spacing w:val="-6"/>
                <w:sz w:val="21"/>
              </w:rPr>
              <w:t>应考虑机械排风、冷却塔、备用发电机房等有噪音产生的设备的影响，靠连心路一侧</w:t>
            </w:r>
            <w:r>
              <w:rPr>
                <w:spacing w:val="-4"/>
                <w:sz w:val="21"/>
              </w:rPr>
              <w:t>种植绿化，</w:t>
            </w:r>
            <w:r>
              <w:rPr>
                <w:rFonts w:ascii="Times New Roman" w:eastAsia="Times New Roman"/>
                <w:sz w:val="21"/>
              </w:rPr>
              <w:t>I</w:t>
            </w:r>
            <w:r>
              <w:rPr>
                <w:rFonts w:ascii="Times New Roman" w:eastAsia="Times New Roman"/>
                <w:spacing w:val="19"/>
                <w:sz w:val="21"/>
              </w:rPr>
              <w:t>  </w:t>
            </w:r>
            <w:r>
              <w:rPr>
                <w:spacing w:val="-3"/>
                <w:sz w:val="21"/>
              </w:rPr>
              <w:t>地块创业产业设施必须安装双层隔声玻璃，如对外出售，必须在商业用</w:t>
            </w:r>
          </w:p>
          <w:p>
            <w:pPr>
              <w:pStyle w:val="TableParagraph"/>
              <w:spacing w:line="274" w:lineRule="exact"/>
              <w:ind w:left="106"/>
              <w:jc w:val="both"/>
              <w:rPr>
                <w:sz w:val="21"/>
              </w:rPr>
            </w:pPr>
            <w:r>
              <w:rPr>
                <w:spacing w:val="-7"/>
                <w:sz w:val="21"/>
              </w:rPr>
              <w:t>房销售合同中进行说明，加强生产经营管理，进行有效隔声、隔热，减少噪声和热辐</w:t>
            </w:r>
          </w:p>
        </w:tc>
        <w:tc>
          <w:tcPr>
            <w:tcW w:w="6453" w:type="dxa"/>
            <w:tcBorders>
              <w:bottom w:val="nil"/>
            </w:tcBorders>
          </w:tcPr>
          <w:p>
            <w:pPr>
              <w:pStyle w:val="TableParagraph"/>
              <w:rPr>
                <w:rFonts w:ascii="Times New Roman"/>
                <w:sz w:val="20"/>
              </w:rPr>
            </w:pPr>
          </w:p>
          <w:p>
            <w:pPr>
              <w:pStyle w:val="TableParagraph"/>
              <w:rPr>
                <w:rFonts w:ascii="Times New Roman"/>
                <w:sz w:val="22"/>
              </w:rPr>
            </w:pPr>
          </w:p>
          <w:p>
            <w:pPr>
              <w:pStyle w:val="TableParagraph"/>
              <w:spacing w:line="168" w:lineRule="auto"/>
              <w:ind w:left="106" w:right="93"/>
              <w:jc w:val="both"/>
              <w:rPr>
                <w:sz w:val="21"/>
              </w:rPr>
            </w:pPr>
            <w:r>
              <w:rPr>
                <w:spacing w:val="-10"/>
                <w:sz w:val="21"/>
              </w:rPr>
              <w:t>配电设备、水泵、风机、空调等配套设备已安装在专用设备房内，所有设备已选用节能低噪设备，并基本按环评要求合理布局采取有效隔</w:t>
            </w:r>
            <w:r>
              <w:rPr>
                <w:spacing w:val="-5"/>
                <w:sz w:val="21"/>
              </w:rPr>
              <w:t>声、减振措施。</w:t>
            </w:r>
          </w:p>
        </w:tc>
        <w:tc>
          <w:tcPr>
            <w:tcW w:w="3594" w:type="dxa"/>
            <w:tcBorders>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ind w:left="105"/>
              <w:rPr>
                <w:sz w:val="21"/>
              </w:rPr>
            </w:pPr>
            <w:r>
              <w:rPr>
                <w:sz w:val="21"/>
              </w:rPr>
              <w:t>对周围环境影响较小。</w:t>
            </w:r>
          </w:p>
        </w:tc>
      </w:tr>
      <w:tr>
        <w:trPr>
          <w:trHeight w:val="305" w:hRule="atLeast"/>
        </w:trPr>
        <w:tc>
          <w:tcPr>
            <w:tcW w:w="1148" w:type="dxa"/>
            <w:vMerge/>
            <w:tcBorders>
              <w:top w:val="nil"/>
            </w:tcBorders>
          </w:tcPr>
          <w:p>
            <w:pPr>
              <w:rPr>
                <w:sz w:val="2"/>
                <w:szCs w:val="2"/>
              </w:rPr>
            </w:pPr>
          </w:p>
        </w:tc>
        <w:tc>
          <w:tcPr>
            <w:tcW w:w="1544" w:type="dxa"/>
            <w:vMerge/>
            <w:tcBorders>
              <w:top w:val="nil"/>
            </w:tcBorders>
          </w:tcPr>
          <w:p>
            <w:pPr>
              <w:rPr>
                <w:sz w:val="2"/>
                <w:szCs w:val="2"/>
              </w:rPr>
            </w:pPr>
          </w:p>
        </w:tc>
        <w:tc>
          <w:tcPr>
            <w:tcW w:w="7957" w:type="dxa"/>
            <w:tcBorders>
              <w:top w:val="nil"/>
            </w:tcBorders>
          </w:tcPr>
          <w:p>
            <w:pPr>
              <w:pStyle w:val="TableParagraph"/>
              <w:spacing w:line="286" w:lineRule="exact"/>
              <w:ind w:left="106"/>
              <w:rPr>
                <w:sz w:val="21"/>
              </w:rPr>
            </w:pPr>
            <w:r>
              <w:rPr>
                <w:sz w:val="21"/>
              </w:rPr>
              <w:t>射对周围环境的不良影响。</w:t>
            </w:r>
          </w:p>
        </w:tc>
        <w:tc>
          <w:tcPr>
            <w:tcW w:w="6453" w:type="dxa"/>
            <w:tcBorders>
              <w:top w:val="nil"/>
            </w:tcBorders>
          </w:tcPr>
          <w:p>
            <w:pPr>
              <w:pStyle w:val="TableParagraph"/>
              <w:rPr>
                <w:rFonts w:ascii="Times New Roman"/>
                <w:sz w:val="20"/>
              </w:rPr>
            </w:pPr>
          </w:p>
        </w:tc>
        <w:tc>
          <w:tcPr>
            <w:tcW w:w="3594" w:type="dxa"/>
            <w:tcBorders>
              <w:top w:val="nil"/>
            </w:tcBorders>
          </w:tcPr>
          <w:p>
            <w:pPr>
              <w:pStyle w:val="TableParagraph"/>
              <w:rPr>
                <w:rFonts w:ascii="Times New Roman"/>
                <w:sz w:val="20"/>
              </w:rPr>
            </w:pPr>
          </w:p>
        </w:tc>
      </w:tr>
      <w:tr>
        <w:trPr>
          <w:trHeight w:val="307" w:hRule="atLeast"/>
        </w:trPr>
        <w:tc>
          <w:tcPr>
            <w:tcW w:w="1148" w:type="dxa"/>
            <w:vMerge/>
            <w:tcBorders>
              <w:top w:val="nil"/>
            </w:tcBorders>
          </w:tcPr>
          <w:p>
            <w:pPr>
              <w:rPr>
                <w:sz w:val="2"/>
                <w:szCs w:val="2"/>
              </w:rPr>
            </w:pPr>
          </w:p>
        </w:tc>
        <w:tc>
          <w:tcPr>
            <w:tcW w:w="1544" w:type="dxa"/>
            <w:tcBorders>
              <w:bottom w:val="nil"/>
            </w:tcBorders>
          </w:tcPr>
          <w:p>
            <w:pPr>
              <w:pStyle w:val="TableParagraph"/>
              <w:rPr>
                <w:rFonts w:ascii="Times New Roman"/>
                <w:sz w:val="20"/>
              </w:rPr>
            </w:pPr>
          </w:p>
        </w:tc>
        <w:tc>
          <w:tcPr>
            <w:tcW w:w="7957" w:type="dxa"/>
            <w:tcBorders>
              <w:bottom w:val="nil"/>
            </w:tcBorders>
          </w:tcPr>
          <w:p>
            <w:pPr>
              <w:pStyle w:val="TableParagraph"/>
              <w:spacing w:line="288" w:lineRule="exact"/>
              <w:ind w:left="106"/>
              <w:rPr>
                <w:sz w:val="21"/>
              </w:rPr>
            </w:pPr>
            <w:r>
              <w:rPr>
                <w:sz w:val="21"/>
              </w:rPr>
              <w:t>环评：本项目固体废物主要为博物馆的参观、管理人员产生的生活垃圾，如果皮、废</w:t>
            </w:r>
          </w:p>
        </w:tc>
        <w:tc>
          <w:tcPr>
            <w:tcW w:w="6453" w:type="dxa"/>
            <w:tcBorders>
              <w:bottom w:val="nil"/>
            </w:tcBorders>
          </w:tcPr>
          <w:p>
            <w:pPr>
              <w:pStyle w:val="TableParagraph"/>
              <w:rPr>
                <w:rFonts w:ascii="Times New Roman"/>
                <w:sz w:val="20"/>
              </w:rPr>
            </w:pPr>
          </w:p>
        </w:tc>
        <w:tc>
          <w:tcPr>
            <w:tcW w:w="3594" w:type="dxa"/>
            <w:tcBorders>
              <w:bottom w:val="nil"/>
            </w:tcBorders>
          </w:tcPr>
          <w:p>
            <w:pPr>
              <w:pStyle w:val="TableParagraph"/>
              <w:rPr>
                <w:rFonts w:ascii="Times New Roman"/>
                <w:sz w:val="20"/>
              </w:rPr>
            </w:pPr>
          </w:p>
        </w:tc>
      </w:tr>
      <w:tr>
        <w:trPr>
          <w:trHeight w:val="302" w:hRule="atLeast"/>
        </w:trPr>
        <w:tc>
          <w:tcPr>
            <w:tcW w:w="1148" w:type="dxa"/>
            <w:vMerge/>
            <w:tcBorders>
              <w:top w:val="nil"/>
            </w:tcBorders>
          </w:tcPr>
          <w:p>
            <w:pPr>
              <w:rPr>
                <w:sz w:val="2"/>
                <w:szCs w:val="2"/>
              </w:rPr>
            </w:pPr>
          </w:p>
        </w:tc>
        <w:tc>
          <w:tcPr>
            <w:tcW w:w="1544" w:type="dxa"/>
            <w:tcBorders>
              <w:top w:val="nil"/>
              <w:bottom w:val="nil"/>
            </w:tcBorders>
          </w:tcPr>
          <w:p>
            <w:pPr>
              <w:pStyle w:val="TableParagraph"/>
              <w:rPr>
                <w:rFonts w:ascii="Times New Roman"/>
                <w:sz w:val="20"/>
              </w:rPr>
            </w:pPr>
          </w:p>
        </w:tc>
        <w:tc>
          <w:tcPr>
            <w:tcW w:w="7957" w:type="dxa"/>
            <w:tcBorders>
              <w:top w:val="nil"/>
              <w:bottom w:val="nil"/>
            </w:tcBorders>
          </w:tcPr>
          <w:p>
            <w:pPr>
              <w:pStyle w:val="TableParagraph"/>
              <w:spacing w:line="282" w:lineRule="exact"/>
              <w:ind w:left="106"/>
              <w:rPr>
                <w:sz w:val="21"/>
              </w:rPr>
            </w:pPr>
            <w:r>
              <w:rPr>
                <w:sz w:val="21"/>
              </w:rPr>
              <w:t>纸、饮料罐等。建立分类收集制度，加强物业管理，及时清理后交由环卫部门统一清</w:t>
            </w:r>
          </w:p>
        </w:tc>
        <w:tc>
          <w:tcPr>
            <w:tcW w:w="6453" w:type="dxa"/>
            <w:tcBorders>
              <w:top w:val="nil"/>
              <w:bottom w:val="nil"/>
            </w:tcBorders>
          </w:tcPr>
          <w:p>
            <w:pPr>
              <w:pStyle w:val="TableParagraph"/>
              <w:spacing w:line="282" w:lineRule="exact"/>
              <w:ind w:left="106"/>
              <w:rPr>
                <w:sz w:val="21"/>
              </w:rPr>
            </w:pPr>
            <w:r>
              <w:rPr>
                <w:sz w:val="21"/>
              </w:rPr>
              <w:t>生活垃圾由环卫部门统一清运。</w:t>
            </w:r>
          </w:p>
        </w:tc>
        <w:tc>
          <w:tcPr>
            <w:tcW w:w="3594" w:type="dxa"/>
            <w:tcBorders>
              <w:top w:val="nil"/>
              <w:bottom w:val="nil"/>
            </w:tcBorders>
          </w:tcPr>
          <w:p>
            <w:pPr>
              <w:pStyle w:val="TableParagraph"/>
              <w:rPr>
                <w:rFonts w:ascii="Times New Roman"/>
                <w:sz w:val="20"/>
              </w:rPr>
            </w:pPr>
          </w:p>
        </w:tc>
      </w:tr>
      <w:tr>
        <w:trPr>
          <w:trHeight w:val="305" w:hRule="atLeast"/>
        </w:trPr>
        <w:tc>
          <w:tcPr>
            <w:tcW w:w="1148" w:type="dxa"/>
            <w:vMerge/>
            <w:tcBorders>
              <w:top w:val="nil"/>
            </w:tcBorders>
          </w:tcPr>
          <w:p>
            <w:pPr>
              <w:rPr>
                <w:sz w:val="2"/>
                <w:szCs w:val="2"/>
              </w:rPr>
            </w:pPr>
          </w:p>
        </w:tc>
        <w:tc>
          <w:tcPr>
            <w:tcW w:w="1544" w:type="dxa"/>
            <w:tcBorders>
              <w:top w:val="nil"/>
              <w:bottom w:val="nil"/>
            </w:tcBorders>
          </w:tcPr>
          <w:p>
            <w:pPr>
              <w:pStyle w:val="TableParagraph"/>
              <w:spacing w:line="286" w:lineRule="exact"/>
              <w:ind w:left="107"/>
              <w:rPr>
                <w:sz w:val="21"/>
              </w:rPr>
            </w:pPr>
            <w:r>
              <w:rPr>
                <w:sz w:val="21"/>
              </w:rPr>
              <w:t>固废治理措施</w:t>
            </w:r>
          </w:p>
        </w:tc>
        <w:tc>
          <w:tcPr>
            <w:tcW w:w="7957" w:type="dxa"/>
            <w:tcBorders>
              <w:top w:val="nil"/>
            </w:tcBorders>
          </w:tcPr>
          <w:p>
            <w:pPr>
              <w:pStyle w:val="TableParagraph"/>
              <w:spacing w:line="286" w:lineRule="exact"/>
              <w:ind w:left="106"/>
              <w:rPr>
                <w:sz w:val="21"/>
              </w:rPr>
            </w:pPr>
            <w:r>
              <w:rPr>
                <w:sz w:val="21"/>
              </w:rPr>
              <w:t>运，妥善处理处置后，其对环境影响较小。</w:t>
            </w:r>
          </w:p>
        </w:tc>
        <w:tc>
          <w:tcPr>
            <w:tcW w:w="6453" w:type="dxa"/>
            <w:tcBorders>
              <w:top w:val="nil"/>
            </w:tcBorders>
          </w:tcPr>
          <w:p>
            <w:pPr>
              <w:pStyle w:val="TableParagraph"/>
              <w:rPr>
                <w:rFonts w:ascii="Times New Roman"/>
                <w:sz w:val="20"/>
              </w:rPr>
            </w:pPr>
          </w:p>
        </w:tc>
        <w:tc>
          <w:tcPr>
            <w:tcW w:w="3594" w:type="dxa"/>
            <w:tcBorders>
              <w:top w:val="nil"/>
              <w:bottom w:val="nil"/>
            </w:tcBorders>
          </w:tcPr>
          <w:p>
            <w:pPr>
              <w:pStyle w:val="TableParagraph"/>
              <w:spacing w:line="286" w:lineRule="exact"/>
              <w:ind w:left="105"/>
              <w:rPr>
                <w:sz w:val="21"/>
              </w:rPr>
            </w:pPr>
            <w:r>
              <w:rPr>
                <w:sz w:val="21"/>
              </w:rPr>
              <w:t>对周围环境影响较小</w:t>
            </w:r>
          </w:p>
        </w:tc>
      </w:tr>
      <w:tr>
        <w:trPr>
          <w:trHeight w:val="626" w:hRule="atLeast"/>
        </w:trPr>
        <w:tc>
          <w:tcPr>
            <w:tcW w:w="1148" w:type="dxa"/>
            <w:vMerge/>
            <w:tcBorders>
              <w:top w:val="nil"/>
            </w:tcBorders>
          </w:tcPr>
          <w:p>
            <w:pPr>
              <w:rPr>
                <w:sz w:val="2"/>
                <w:szCs w:val="2"/>
              </w:rPr>
            </w:pPr>
          </w:p>
        </w:tc>
        <w:tc>
          <w:tcPr>
            <w:tcW w:w="1544" w:type="dxa"/>
            <w:tcBorders>
              <w:top w:val="nil"/>
            </w:tcBorders>
          </w:tcPr>
          <w:p>
            <w:pPr>
              <w:pStyle w:val="TableParagraph"/>
              <w:rPr>
                <w:rFonts w:ascii="Times New Roman"/>
                <w:sz w:val="20"/>
              </w:rPr>
            </w:pPr>
          </w:p>
        </w:tc>
        <w:tc>
          <w:tcPr>
            <w:tcW w:w="7957" w:type="dxa"/>
          </w:tcPr>
          <w:p>
            <w:pPr>
              <w:pStyle w:val="TableParagraph"/>
              <w:spacing w:line="301" w:lineRule="exact"/>
              <w:ind w:left="106" w:right="-15"/>
              <w:rPr>
                <w:sz w:val="21"/>
              </w:rPr>
            </w:pPr>
            <w:r>
              <w:rPr>
                <w:spacing w:val="-13"/>
                <w:sz w:val="21"/>
              </w:rPr>
              <w:t>批复：对经营过程中产生的生活垃圾及食品残渣，需设置定点垃圾箱并配备专人清理，</w:t>
            </w:r>
          </w:p>
          <w:p>
            <w:pPr>
              <w:pStyle w:val="TableParagraph"/>
              <w:spacing w:line="306" w:lineRule="exact"/>
              <w:ind w:left="106"/>
              <w:rPr>
                <w:sz w:val="21"/>
              </w:rPr>
            </w:pPr>
            <w:r>
              <w:rPr>
                <w:sz w:val="21"/>
              </w:rPr>
              <w:t>防止影响周围环境</w:t>
            </w:r>
          </w:p>
        </w:tc>
        <w:tc>
          <w:tcPr>
            <w:tcW w:w="6453" w:type="dxa"/>
          </w:tcPr>
          <w:p>
            <w:pPr>
              <w:pStyle w:val="TableParagraph"/>
              <w:spacing w:before="78"/>
              <w:ind w:left="106"/>
              <w:rPr>
                <w:sz w:val="21"/>
              </w:rPr>
            </w:pPr>
            <w:r>
              <w:rPr>
                <w:sz w:val="21"/>
              </w:rPr>
              <w:t>已合理设置垃圾收集点，定期消毒，委托环卫部门及时清运。</w:t>
            </w:r>
          </w:p>
        </w:tc>
        <w:tc>
          <w:tcPr>
            <w:tcW w:w="3594" w:type="dxa"/>
            <w:tcBorders>
              <w:top w:val="nil"/>
            </w:tcBorders>
          </w:tcPr>
          <w:p>
            <w:pPr>
              <w:pStyle w:val="TableParagraph"/>
              <w:rPr>
                <w:rFonts w:ascii="Times New Roman"/>
                <w:sz w:val="20"/>
              </w:rPr>
            </w:pPr>
          </w:p>
        </w:tc>
      </w:tr>
    </w:tbl>
    <w:p>
      <w:pPr>
        <w:spacing w:after="0"/>
        <w:rPr>
          <w:rFonts w:ascii="Times New Roman"/>
          <w:sz w:val="20"/>
        </w:rPr>
        <w:sectPr>
          <w:pgSz w:w="23820" w:h="16840" w:orient="landscape"/>
          <w:pgMar w:header="877" w:footer="1146" w:top="1660" w:bottom="1340" w:left="1340" w:right="1440"/>
        </w:sectPr>
      </w:pPr>
    </w:p>
    <w:p>
      <w:pPr>
        <w:pStyle w:val="BodyText"/>
        <w:spacing w:before="2"/>
        <w:rPr>
          <w:rFonts w:ascii="Times New Roman"/>
          <w:sz w:val="4"/>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48"/>
        <w:gridCol w:w="4624"/>
      </w:tblGrid>
      <w:tr>
        <w:trPr>
          <w:trHeight w:val="371" w:hRule="atLeast"/>
        </w:trPr>
        <w:tc>
          <w:tcPr>
            <w:tcW w:w="9072" w:type="dxa"/>
            <w:gridSpan w:val="2"/>
          </w:tcPr>
          <w:p>
            <w:pPr>
              <w:pStyle w:val="TableParagraph"/>
              <w:spacing w:line="352" w:lineRule="exact"/>
              <w:ind w:left="3570" w:right="3562"/>
              <w:jc w:val="center"/>
              <w:rPr>
                <w:sz w:val="21"/>
              </w:rPr>
            </w:pPr>
            <w:r>
              <w:rPr>
                <w:sz w:val="21"/>
              </w:rPr>
              <w:t>运营期环保措施照片</w:t>
            </w:r>
          </w:p>
        </w:tc>
      </w:tr>
      <w:tr>
        <w:trPr>
          <w:trHeight w:val="3180" w:hRule="atLeast"/>
        </w:trPr>
        <w:tc>
          <w:tcPr>
            <w:tcW w:w="4448" w:type="dxa"/>
          </w:tcPr>
          <w:p>
            <w:pPr>
              <w:pStyle w:val="TableParagraph"/>
              <w:spacing w:before="10"/>
              <w:rPr>
                <w:rFonts w:ascii="Times New Roman"/>
                <w:sz w:val="20"/>
              </w:rPr>
            </w:pPr>
          </w:p>
          <w:p>
            <w:pPr>
              <w:pStyle w:val="TableParagraph"/>
              <w:ind w:left="376"/>
              <w:rPr>
                <w:rFonts w:ascii="Times New Roman"/>
                <w:sz w:val="20"/>
              </w:rPr>
            </w:pPr>
            <w:r>
              <w:rPr>
                <w:rFonts w:ascii="Times New Roman"/>
                <w:sz w:val="20"/>
              </w:rPr>
              <w:drawing>
                <wp:inline distT="0" distB="0" distL="0" distR="0">
                  <wp:extent cx="2348399" cy="1761363"/>
                  <wp:effectExtent l="0" t="0" r="0" b="0"/>
                  <wp:docPr id="13" name="image7.jpeg" descr=""/>
                  <wp:cNvGraphicFramePr>
                    <a:graphicFrameLocks noChangeAspect="1"/>
                  </wp:cNvGraphicFramePr>
                  <a:graphic>
                    <a:graphicData uri="http://schemas.openxmlformats.org/drawingml/2006/picture">
                      <pic:pic>
                        <pic:nvPicPr>
                          <pic:cNvPr id="14" name="image7.jpeg"/>
                          <pic:cNvPicPr/>
                        </pic:nvPicPr>
                        <pic:blipFill>
                          <a:blip r:embed="rId17" cstate="print"/>
                          <a:stretch>
                            <a:fillRect/>
                          </a:stretch>
                        </pic:blipFill>
                        <pic:spPr>
                          <a:xfrm>
                            <a:off x="0" y="0"/>
                            <a:ext cx="2348399" cy="1761363"/>
                          </a:xfrm>
                          <a:prstGeom prst="rect">
                            <a:avLst/>
                          </a:prstGeom>
                        </pic:spPr>
                      </pic:pic>
                    </a:graphicData>
                  </a:graphic>
                </wp:inline>
              </w:drawing>
            </w:r>
            <w:r>
              <w:rPr>
                <w:rFonts w:ascii="Times New Roman"/>
                <w:sz w:val="20"/>
              </w:rPr>
            </w:r>
          </w:p>
        </w:tc>
        <w:tc>
          <w:tcPr>
            <w:tcW w:w="4624" w:type="dxa"/>
          </w:tcPr>
          <w:p>
            <w:pPr>
              <w:pStyle w:val="TableParagraph"/>
              <w:spacing w:before="8"/>
              <w:rPr>
                <w:rFonts w:ascii="Times New Roman"/>
                <w:sz w:val="17"/>
              </w:rPr>
            </w:pPr>
          </w:p>
          <w:p>
            <w:pPr>
              <w:pStyle w:val="TableParagraph"/>
              <w:ind w:left="418"/>
              <w:rPr>
                <w:rFonts w:ascii="Times New Roman"/>
                <w:sz w:val="20"/>
              </w:rPr>
            </w:pPr>
            <w:r>
              <w:rPr>
                <w:rFonts w:ascii="Times New Roman"/>
                <w:sz w:val="20"/>
              </w:rPr>
              <w:drawing>
                <wp:inline distT="0" distB="0" distL="0" distR="0">
                  <wp:extent cx="2398479" cy="1798891"/>
                  <wp:effectExtent l="0" t="0" r="0" b="0"/>
                  <wp:docPr id="15" name="image8.jpeg" descr=""/>
                  <wp:cNvGraphicFramePr>
                    <a:graphicFrameLocks noChangeAspect="1"/>
                  </wp:cNvGraphicFramePr>
                  <a:graphic>
                    <a:graphicData uri="http://schemas.openxmlformats.org/drawingml/2006/picture">
                      <pic:pic>
                        <pic:nvPicPr>
                          <pic:cNvPr id="16" name="image8.jpeg"/>
                          <pic:cNvPicPr/>
                        </pic:nvPicPr>
                        <pic:blipFill>
                          <a:blip r:embed="rId18" cstate="print"/>
                          <a:stretch>
                            <a:fillRect/>
                          </a:stretch>
                        </pic:blipFill>
                        <pic:spPr>
                          <a:xfrm>
                            <a:off x="0" y="0"/>
                            <a:ext cx="2398479" cy="1798891"/>
                          </a:xfrm>
                          <a:prstGeom prst="rect">
                            <a:avLst/>
                          </a:prstGeom>
                        </pic:spPr>
                      </pic:pic>
                    </a:graphicData>
                  </a:graphic>
                </wp:inline>
              </w:drawing>
            </w:r>
            <w:r>
              <w:rPr>
                <w:rFonts w:ascii="Times New Roman"/>
                <w:sz w:val="20"/>
              </w:rPr>
            </w:r>
          </w:p>
        </w:tc>
      </w:tr>
      <w:tr>
        <w:trPr>
          <w:trHeight w:val="505" w:hRule="atLeast"/>
        </w:trPr>
        <w:tc>
          <w:tcPr>
            <w:tcW w:w="4448" w:type="dxa"/>
          </w:tcPr>
          <w:p>
            <w:pPr>
              <w:pStyle w:val="TableParagraph"/>
              <w:spacing w:line="437" w:lineRule="exact" w:before="49"/>
              <w:ind w:left="1154" w:right="1143"/>
              <w:jc w:val="center"/>
              <w:rPr>
                <w:sz w:val="21"/>
              </w:rPr>
            </w:pPr>
            <w:r>
              <w:rPr>
                <w:sz w:val="21"/>
              </w:rPr>
              <w:t>空调机房水泥减震基础</w:t>
            </w:r>
          </w:p>
        </w:tc>
        <w:tc>
          <w:tcPr>
            <w:tcW w:w="4624" w:type="dxa"/>
          </w:tcPr>
          <w:p>
            <w:pPr>
              <w:pStyle w:val="TableParagraph"/>
              <w:spacing w:line="437" w:lineRule="exact" w:before="49"/>
              <w:ind w:left="1556" w:right="1548"/>
              <w:jc w:val="center"/>
              <w:rPr>
                <w:sz w:val="21"/>
              </w:rPr>
            </w:pPr>
            <w:r>
              <w:rPr>
                <w:sz w:val="21"/>
              </w:rPr>
              <w:t>空调机房减震垫</w:t>
            </w:r>
          </w:p>
        </w:tc>
      </w:tr>
      <w:tr>
        <w:trPr>
          <w:trHeight w:val="3180" w:hRule="atLeast"/>
        </w:trPr>
        <w:tc>
          <w:tcPr>
            <w:tcW w:w="4448" w:type="dxa"/>
          </w:tcPr>
          <w:p>
            <w:pPr>
              <w:pStyle w:val="TableParagraph"/>
              <w:spacing w:before="6" w:after="1"/>
              <w:rPr>
                <w:rFonts w:ascii="Times New Roman"/>
                <w:sz w:val="17"/>
              </w:rPr>
            </w:pPr>
          </w:p>
          <w:p>
            <w:pPr>
              <w:pStyle w:val="TableParagraph"/>
              <w:ind w:left="1156"/>
              <w:rPr>
                <w:rFonts w:ascii="Times New Roman"/>
                <w:sz w:val="20"/>
              </w:rPr>
            </w:pPr>
            <w:r>
              <w:rPr>
                <w:rFonts w:ascii="Times New Roman"/>
                <w:sz w:val="20"/>
              </w:rPr>
              <w:drawing>
                <wp:inline distT="0" distB="0" distL="0" distR="0">
                  <wp:extent cx="1349073" cy="1798891"/>
                  <wp:effectExtent l="0" t="0" r="0" b="0"/>
                  <wp:docPr id="17" name="image9.jpeg" descr=""/>
                  <wp:cNvGraphicFramePr>
                    <a:graphicFrameLocks noChangeAspect="1"/>
                  </wp:cNvGraphicFramePr>
                  <a:graphic>
                    <a:graphicData uri="http://schemas.openxmlformats.org/drawingml/2006/picture">
                      <pic:pic>
                        <pic:nvPicPr>
                          <pic:cNvPr id="18" name="image9.jpeg"/>
                          <pic:cNvPicPr/>
                        </pic:nvPicPr>
                        <pic:blipFill>
                          <a:blip r:embed="rId19" cstate="print"/>
                          <a:stretch>
                            <a:fillRect/>
                          </a:stretch>
                        </pic:blipFill>
                        <pic:spPr>
                          <a:xfrm>
                            <a:off x="0" y="0"/>
                            <a:ext cx="1349073" cy="1798891"/>
                          </a:xfrm>
                          <a:prstGeom prst="rect">
                            <a:avLst/>
                          </a:prstGeom>
                        </pic:spPr>
                      </pic:pic>
                    </a:graphicData>
                  </a:graphic>
                </wp:inline>
              </w:drawing>
            </w:r>
            <w:r>
              <w:rPr>
                <w:rFonts w:ascii="Times New Roman"/>
                <w:sz w:val="20"/>
              </w:rPr>
            </w:r>
          </w:p>
        </w:tc>
        <w:tc>
          <w:tcPr>
            <w:tcW w:w="4624" w:type="dxa"/>
          </w:tcPr>
          <w:p>
            <w:pPr>
              <w:pStyle w:val="TableParagraph"/>
              <w:rPr>
                <w:rFonts w:ascii="Times New Roman"/>
                <w:sz w:val="13"/>
              </w:rPr>
            </w:pPr>
          </w:p>
          <w:p>
            <w:pPr>
              <w:pStyle w:val="TableParagraph"/>
              <w:ind w:left="1207"/>
              <w:rPr>
                <w:rFonts w:ascii="Times New Roman"/>
                <w:sz w:val="20"/>
              </w:rPr>
            </w:pPr>
            <w:r>
              <w:rPr>
                <w:rFonts w:ascii="Times New Roman"/>
                <w:sz w:val="20"/>
              </w:rPr>
              <w:drawing>
                <wp:inline distT="0" distB="0" distL="0" distR="0">
                  <wp:extent cx="1396706" cy="1862232"/>
                  <wp:effectExtent l="0" t="0" r="0" b="0"/>
                  <wp:docPr id="19" name="image10.jpeg" descr=""/>
                  <wp:cNvGraphicFramePr>
                    <a:graphicFrameLocks noChangeAspect="1"/>
                  </wp:cNvGraphicFramePr>
                  <a:graphic>
                    <a:graphicData uri="http://schemas.openxmlformats.org/drawingml/2006/picture">
                      <pic:pic>
                        <pic:nvPicPr>
                          <pic:cNvPr id="20" name="image10.jpeg"/>
                          <pic:cNvPicPr/>
                        </pic:nvPicPr>
                        <pic:blipFill>
                          <a:blip r:embed="rId20" cstate="print"/>
                          <a:stretch>
                            <a:fillRect/>
                          </a:stretch>
                        </pic:blipFill>
                        <pic:spPr>
                          <a:xfrm>
                            <a:off x="0" y="0"/>
                            <a:ext cx="1396706" cy="1862232"/>
                          </a:xfrm>
                          <a:prstGeom prst="rect">
                            <a:avLst/>
                          </a:prstGeom>
                        </pic:spPr>
                      </pic:pic>
                    </a:graphicData>
                  </a:graphic>
                </wp:inline>
              </w:drawing>
            </w:r>
            <w:r>
              <w:rPr>
                <w:rFonts w:ascii="Times New Roman"/>
                <w:sz w:val="20"/>
              </w:rPr>
            </w:r>
          </w:p>
        </w:tc>
      </w:tr>
      <w:tr>
        <w:trPr>
          <w:trHeight w:val="506" w:hRule="atLeast"/>
        </w:trPr>
        <w:tc>
          <w:tcPr>
            <w:tcW w:w="4448" w:type="dxa"/>
          </w:tcPr>
          <w:p>
            <w:pPr>
              <w:pStyle w:val="TableParagraph"/>
              <w:spacing w:line="437" w:lineRule="exact" w:before="49"/>
              <w:ind w:left="1151" w:right="1143"/>
              <w:jc w:val="center"/>
              <w:rPr>
                <w:sz w:val="21"/>
              </w:rPr>
            </w:pPr>
            <w:r>
              <w:rPr>
                <w:sz w:val="21"/>
              </w:rPr>
              <w:t>地下室抽排污泵软接</w:t>
            </w:r>
          </w:p>
        </w:tc>
        <w:tc>
          <w:tcPr>
            <w:tcW w:w="4624" w:type="dxa"/>
          </w:tcPr>
          <w:p>
            <w:pPr>
              <w:pStyle w:val="TableParagraph"/>
              <w:spacing w:line="437" w:lineRule="exact" w:before="49"/>
              <w:ind w:left="1553" w:right="1548"/>
              <w:jc w:val="center"/>
              <w:rPr>
                <w:sz w:val="21"/>
              </w:rPr>
            </w:pPr>
            <w:r>
              <w:rPr>
                <w:sz w:val="21"/>
              </w:rPr>
              <w:t>消防泵软接</w:t>
            </w:r>
          </w:p>
        </w:tc>
      </w:tr>
      <w:tr>
        <w:trPr>
          <w:trHeight w:val="3180" w:hRule="atLeast"/>
        </w:trPr>
        <w:tc>
          <w:tcPr>
            <w:tcW w:w="4448" w:type="dxa"/>
          </w:tcPr>
          <w:p>
            <w:pPr>
              <w:pStyle w:val="TableParagraph"/>
              <w:spacing w:before="5" w:after="1"/>
              <w:rPr>
                <w:rFonts w:ascii="Times New Roman"/>
                <w:sz w:val="15"/>
              </w:rPr>
            </w:pPr>
          </w:p>
          <w:p>
            <w:pPr>
              <w:pStyle w:val="TableParagraph"/>
              <w:ind w:left="301"/>
              <w:rPr>
                <w:rFonts w:ascii="Times New Roman"/>
                <w:sz w:val="20"/>
              </w:rPr>
            </w:pPr>
            <w:r>
              <w:rPr>
                <w:rFonts w:ascii="Times New Roman"/>
                <w:sz w:val="20"/>
              </w:rPr>
              <w:drawing>
                <wp:inline distT="0" distB="0" distL="0" distR="0">
                  <wp:extent cx="2449152" cy="1836896"/>
                  <wp:effectExtent l="0" t="0" r="0" b="0"/>
                  <wp:docPr id="21" name="image11.jpeg" descr=""/>
                  <wp:cNvGraphicFramePr>
                    <a:graphicFrameLocks noChangeAspect="1"/>
                  </wp:cNvGraphicFramePr>
                  <a:graphic>
                    <a:graphicData uri="http://schemas.openxmlformats.org/drawingml/2006/picture">
                      <pic:pic>
                        <pic:nvPicPr>
                          <pic:cNvPr id="22" name="image11.jpeg"/>
                          <pic:cNvPicPr/>
                        </pic:nvPicPr>
                        <pic:blipFill>
                          <a:blip r:embed="rId21" cstate="print"/>
                          <a:stretch>
                            <a:fillRect/>
                          </a:stretch>
                        </pic:blipFill>
                        <pic:spPr>
                          <a:xfrm>
                            <a:off x="0" y="0"/>
                            <a:ext cx="2449152" cy="1836896"/>
                          </a:xfrm>
                          <a:prstGeom prst="rect">
                            <a:avLst/>
                          </a:prstGeom>
                        </pic:spPr>
                      </pic:pic>
                    </a:graphicData>
                  </a:graphic>
                </wp:inline>
              </w:drawing>
            </w:r>
            <w:r>
              <w:rPr>
                <w:rFonts w:ascii="Times New Roman"/>
                <w:sz w:val="20"/>
              </w:rPr>
            </w:r>
          </w:p>
        </w:tc>
        <w:tc>
          <w:tcPr>
            <w:tcW w:w="4624" w:type="dxa"/>
          </w:tcPr>
          <w:p>
            <w:pPr>
              <w:pStyle w:val="TableParagraph"/>
              <w:spacing w:before="1"/>
              <w:rPr>
                <w:rFonts w:ascii="Times New Roman"/>
                <w:sz w:val="18"/>
              </w:rPr>
            </w:pPr>
          </w:p>
          <w:p>
            <w:pPr>
              <w:pStyle w:val="TableParagraph"/>
              <w:ind w:left="430"/>
              <w:rPr>
                <w:rFonts w:ascii="Times New Roman"/>
                <w:sz w:val="20"/>
              </w:rPr>
            </w:pPr>
            <w:r>
              <w:rPr>
                <w:rFonts w:ascii="Times New Roman"/>
                <w:sz w:val="20"/>
              </w:rPr>
              <w:drawing>
                <wp:inline distT="0" distB="0" distL="0" distR="0">
                  <wp:extent cx="2399410" cy="1799653"/>
                  <wp:effectExtent l="0" t="0" r="0" b="0"/>
                  <wp:docPr id="23" name="image12.jpeg" descr=""/>
                  <wp:cNvGraphicFramePr>
                    <a:graphicFrameLocks noChangeAspect="1"/>
                  </wp:cNvGraphicFramePr>
                  <a:graphic>
                    <a:graphicData uri="http://schemas.openxmlformats.org/drawingml/2006/picture">
                      <pic:pic>
                        <pic:nvPicPr>
                          <pic:cNvPr id="24" name="image12.jpeg"/>
                          <pic:cNvPicPr/>
                        </pic:nvPicPr>
                        <pic:blipFill>
                          <a:blip r:embed="rId22" cstate="print"/>
                          <a:stretch>
                            <a:fillRect/>
                          </a:stretch>
                        </pic:blipFill>
                        <pic:spPr>
                          <a:xfrm>
                            <a:off x="0" y="0"/>
                            <a:ext cx="2399410" cy="1799653"/>
                          </a:xfrm>
                          <a:prstGeom prst="rect">
                            <a:avLst/>
                          </a:prstGeom>
                        </pic:spPr>
                      </pic:pic>
                    </a:graphicData>
                  </a:graphic>
                </wp:inline>
              </w:drawing>
            </w:r>
            <w:r>
              <w:rPr>
                <w:rFonts w:ascii="Times New Roman"/>
                <w:sz w:val="20"/>
              </w:rPr>
            </w:r>
          </w:p>
        </w:tc>
      </w:tr>
      <w:tr>
        <w:trPr>
          <w:trHeight w:val="505" w:hRule="atLeast"/>
        </w:trPr>
        <w:tc>
          <w:tcPr>
            <w:tcW w:w="4448" w:type="dxa"/>
          </w:tcPr>
          <w:p>
            <w:pPr>
              <w:pStyle w:val="TableParagraph"/>
              <w:spacing w:line="437" w:lineRule="exact" w:before="49"/>
              <w:ind w:left="1154" w:right="1143"/>
              <w:jc w:val="center"/>
              <w:rPr>
                <w:sz w:val="21"/>
              </w:rPr>
            </w:pPr>
            <w:r>
              <w:rPr>
                <w:sz w:val="21"/>
              </w:rPr>
              <w:t>地下室集水井</w:t>
            </w:r>
          </w:p>
        </w:tc>
        <w:tc>
          <w:tcPr>
            <w:tcW w:w="4624" w:type="dxa"/>
          </w:tcPr>
          <w:p>
            <w:pPr>
              <w:pStyle w:val="TableParagraph"/>
              <w:spacing w:line="437" w:lineRule="exact" w:before="49"/>
              <w:ind w:left="1553" w:right="1548"/>
              <w:jc w:val="center"/>
              <w:rPr>
                <w:sz w:val="21"/>
              </w:rPr>
            </w:pPr>
            <w:r>
              <w:rPr>
                <w:sz w:val="21"/>
              </w:rPr>
              <w:t>低噪声水泵</w:t>
            </w:r>
          </w:p>
        </w:tc>
      </w:tr>
    </w:tbl>
    <w:p>
      <w:pPr>
        <w:spacing w:after="0" w:line="437" w:lineRule="exact"/>
        <w:jc w:val="center"/>
        <w:rPr>
          <w:sz w:val="21"/>
        </w:rPr>
        <w:sectPr>
          <w:headerReference w:type="default" r:id="rId15"/>
          <w:footerReference w:type="default" r:id="rId16"/>
          <w:pgSz w:w="11910" w:h="17580"/>
          <w:pgMar w:header="877" w:footer="1146" w:top="1380" w:bottom="1340" w:left="1300" w:right="800"/>
          <w:pgNumType w:start="22"/>
        </w:sectPr>
      </w:pPr>
    </w:p>
    <w:p>
      <w:pPr>
        <w:pStyle w:val="BodyText"/>
        <w:spacing w:line="416" w:lineRule="exact"/>
        <w:ind w:left="2843"/>
      </w:pPr>
      <w:r>
        <w:rPr/>
        <w:pict>
          <v:shape style="position:absolute;margin-left:89.903999pt;margin-top:87.600021pt;width:416pt;height:707.5pt;mso-position-horizontal-relative:page;mso-position-vertical-relative:page;z-index:179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417"/>
                    <w:gridCol w:w="3231"/>
                  </w:tblGrid>
                  <w:tr>
                    <w:trPr>
                      <w:trHeight w:val="371" w:hRule="atLeast"/>
                    </w:trPr>
                    <w:tc>
                      <w:tcPr>
                        <w:tcW w:w="658" w:type="dxa"/>
                      </w:tcPr>
                      <w:p>
                        <w:pPr>
                          <w:pStyle w:val="TableParagraph"/>
                          <w:spacing w:line="352" w:lineRule="exact"/>
                          <w:ind w:left="117"/>
                          <w:rPr>
                            <w:sz w:val="21"/>
                          </w:rPr>
                        </w:pPr>
                        <w:r>
                          <w:rPr>
                            <w:sz w:val="21"/>
                          </w:rPr>
                          <w:t>序号</w:t>
                        </w:r>
                      </w:p>
                    </w:tc>
                    <w:tc>
                      <w:tcPr>
                        <w:tcW w:w="4417" w:type="dxa"/>
                      </w:tcPr>
                      <w:p>
                        <w:pPr>
                          <w:pStyle w:val="TableParagraph"/>
                          <w:spacing w:line="352" w:lineRule="exact"/>
                          <w:ind w:left="99" w:right="92"/>
                          <w:jc w:val="center"/>
                          <w:rPr>
                            <w:sz w:val="21"/>
                          </w:rPr>
                        </w:pPr>
                        <w:r>
                          <w:rPr>
                            <w:sz w:val="21"/>
                          </w:rPr>
                          <w:t>环评报告批复要求内容</w:t>
                        </w:r>
                      </w:p>
                    </w:tc>
                    <w:tc>
                      <w:tcPr>
                        <w:tcW w:w="3231" w:type="dxa"/>
                      </w:tcPr>
                      <w:p>
                        <w:pPr>
                          <w:pStyle w:val="TableParagraph"/>
                          <w:spacing w:line="352" w:lineRule="exact"/>
                          <w:ind w:left="140" w:right="130"/>
                          <w:jc w:val="center"/>
                          <w:rPr>
                            <w:sz w:val="21"/>
                          </w:rPr>
                        </w:pPr>
                        <w:r>
                          <w:rPr>
                            <w:sz w:val="21"/>
                          </w:rPr>
                          <w:t>落实情况</w:t>
                        </w:r>
                      </w:p>
                    </w:tc>
                  </w:tr>
                  <w:tr>
                    <w:trPr>
                      <w:trHeight w:val="1432" w:hRule="atLeast"/>
                    </w:trPr>
                    <w:tc>
                      <w:tcPr>
                        <w:tcW w:w="658" w:type="dxa"/>
                      </w:tcPr>
                      <w:p>
                        <w:pPr>
                          <w:pStyle w:val="TableParagraph"/>
                          <w:spacing w:before="9"/>
                          <w:rPr>
                            <w:sz w:val="29"/>
                          </w:rPr>
                        </w:pPr>
                      </w:p>
                      <w:p>
                        <w:pPr>
                          <w:pStyle w:val="TableParagraph"/>
                          <w:ind w:left="9"/>
                          <w:jc w:val="center"/>
                          <w:rPr>
                            <w:rFonts w:ascii="Times New Roman"/>
                            <w:sz w:val="21"/>
                          </w:rPr>
                        </w:pPr>
                        <w:r>
                          <w:rPr>
                            <w:rFonts w:ascii="Times New Roman"/>
                            <w:w w:val="100"/>
                            <w:sz w:val="21"/>
                          </w:rPr>
                          <w:t>1</w:t>
                        </w:r>
                      </w:p>
                    </w:tc>
                    <w:tc>
                      <w:tcPr>
                        <w:tcW w:w="4417" w:type="dxa"/>
                      </w:tcPr>
                      <w:p>
                        <w:pPr>
                          <w:pStyle w:val="TableParagraph"/>
                          <w:spacing w:before="17"/>
                          <w:rPr>
                            <w:sz w:val="13"/>
                          </w:rPr>
                        </w:pPr>
                      </w:p>
                      <w:p>
                        <w:pPr>
                          <w:pStyle w:val="TableParagraph"/>
                          <w:spacing w:line="168" w:lineRule="auto" w:before="1"/>
                          <w:ind w:left="107" w:right="92"/>
                          <w:jc w:val="center"/>
                          <w:rPr>
                            <w:sz w:val="21"/>
                          </w:rPr>
                        </w:pPr>
                        <w:r>
                          <w:rPr>
                            <w:sz w:val="21"/>
                          </w:rPr>
                          <w:t>根据《报告书》评价结论、专家函审、部门会审意见，原则同意该项目按照《报告书》规定的内容和规模在拟定地点建设。</w:t>
                        </w:r>
                      </w:p>
                    </w:tc>
                    <w:tc>
                      <w:tcPr>
                        <w:tcW w:w="3231" w:type="dxa"/>
                      </w:tcPr>
                      <w:p>
                        <w:pPr>
                          <w:pStyle w:val="TableParagraph"/>
                          <w:spacing w:before="17"/>
                          <w:rPr>
                            <w:sz w:val="13"/>
                          </w:rPr>
                        </w:pPr>
                      </w:p>
                      <w:p>
                        <w:pPr>
                          <w:pStyle w:val="TableParagraph"/>
                          <w:spacing w:line="168" w:lineRule="auto" w:before="1"/>
                          <w:ind w:left="143" w:right="130"/>
                          <w:jc w:val="both"/>
                          <w:rPr>
                            <w:sz w:val="21"/>
                          </w:rPr>
                        </w:pPr>
                        <w:r>
                          <w:rPr>
                            <w:sz w:val="21"/>
                          </w:rPr>
                          <w:t>项目已建成，项目经济技术指标略有调整，基本同步和落实建成噪声、废气、废水治理措施。</w:t>
                        </w:r>
                      </w:p>
                    </w:tc>
                  </w:tr>
                  <w:tr>
                    <w:trPr>
                      <w:trHeight w:val="371" w:hRule="atLeast"/>
                    </w:trPr>
                    <w:tc>
                      <w:tcPr>
                        <w:tcW w:w="658" w:type="dxa"/>
                      </w:tcPr>
                      <w:p>
                        <w:pPr>
                          <w:pStyle w:val="TableParagraph"/>
                          <w:spacing w:before="94"/>
                          <w:ind w:left="9"/>
                          <w:jc w:val="center"/>
                          <w:rPr>
                            <w:rFonts w:ascii="Times New Roman"/>
                            <w:sz w:val="21"/>
                          </w:rPr>
                        </w:pPr>
                        <w:r>
                          <w:rPr>
                            <w:rFonts w:ascii="Times New Roman"/>
                            <w:w w:val="100"/>
                            <w:sz w:val="21"/>
                          </w:rPr>
                          <w:t>2</w:t>
                        </w:r>
                      </w:p>
                    </w:tc>
                    <w:tc>
                      <w:tcPr>
                        <w:tcW w:w="7648" w:type="dxa"/>
                        <w:gridSpan w:val="2"/>
                      </w:tcPr>
                      <w:p>
                        <w:pPr>
                          <w:pStyle w:val="TableParagraph"/>
                          <w:spacing w:line="352" w:lineRule="exact"/>
                          <w:ind w:left="2542" w:right="2536"/>
                          <w:jc w:val="center"/>
                          <w:rPr>
                            <w:sz w:val="21"/>
                          </w:rPr>
                        </w:pPr>
                        <w:r>
                          <w:rPr>
                            <w:sz w:val="21"/>
                          </w:rPr>
                          <w:t>重点落实以下环保对策措施</w:t>
                        </w:r>
                      </w:p>
                    </w:tc>
                  </w:tr>
                  <w:tr>
                    <w:trPr>
                      <w:trHeight w:val="683" w:hRule="atLeast"/>
                    </w:trPr>
                    <w:tc>
                      <w:tcPr>
                        <w:tcW w:w="658" w:type="dxa"/>
                      </w:tcPr>
                      <w:p>
                        <w:pPr>
                          <w:pStyle w:val="TableParagraph"/>
                          <w:spacing w:before="16"/>
                          <w:rPr>
                            <w:sz w:val="11"/>
                          </w:rPr>
                        </w:pPr>
                      </w:p>
                      <w:p>
                        <w:pPr>
                          <w:pStyle w:val="TableParagraph"/>
                          <w:spacing w:before="1"/>
                          <w:ind w:left="196"/>
                          <w:rPr>
                            <w:rFonts w:ascii="Times New Roman"/>
                            <w:sz w:val="21"/>
                          </w:rPr>
                        </w:pPr>
                        <w:r>
                          <w:rPr>
                            <w:rFonts w:ascii="Times New Roman"/>
                            <w:sz w:val="21"/>
                          </w:rPr>
                          <w:t>2.1</w:t>
                        </w:r>
                      </w:p>
                    </w:tc>
                    <w:tc>
                      <w:tcPr>
                        <w:tcW w:w="4417" w:type="dxa"/>
                      </w:tcPr>
                      <w:p>
                        <w:pPr>
                          <w:pStyle w:val="TableParagraph"/>
                          <w:spacing w:line="360" w:lineRule="exact"/>
                          <w:ind w:left="90" w:right="77"/>
                          <w:jc w:val="center"/>
                          <w:rPr>
                            <w:sz w:val="21"/>
                          </w:rPr>
                        </w:pPr>
                        <w:r>
                          <w:rPr>
                            <w:sz w:val="21"/>
                          </w:rPr>
                          <w:t>项目施工期严格控制各施工设备的噪声，禁止</w:t>
                        </w:r>
                      </w:p>
                      <w:p>
                        <w:pPr>
                          <w:pStyle w:val="TableParagraph"/>
                          <w:spacing w:line="303" w:lineRule="exact"/>
                          <w:ind w:left="103" w:right="92"/>
                          <w:jc w:val="center"/>
                          <w:rPr>
                            <w:sz w:val="21"/>
                          </w:rPr>
                        </w:pPr>
                        <w:r>
                          <w:rPr>
                            <w:sz w:val="21"/>
                          </w:rPr>
                          <w:t>夜间打桩。</w:t>
                        </w:r>
                      </w:p>
                    </w:tc>
                    <w:tc>
                      <w:tcPr>
                        <w:tcW w:w="3231"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
                          <w:rPr>
                            <w:sz w:val="13"/>
                          </w:rPr>
                        </w:pPr>
                      </w:p>
                      <w:p>
                        <w:pPr>
                          <w:pStyle w:val="TableParagraph"/>
                          <w:spacing w:line="168" w:lineRule="auto"/>
                          <w:ind w:left="143" w:right="130"/>
                          <w:jc w:val="center"/>
                          <w:rPr>
                            <w:sz w:val="21"/>
                          </w:rPr>
                        </w:pPr>
                        <w:r>
                          <w:rPr>
                            <w:sz w:val="21"/>
                          </w:rPr>
                          <w:t>项目施工期间，基本按环评及批复要求对扬尘、废水、噪声、固废等污染物进行处理。</w:t>
                        </w:r>
                      </w:p>
                    </w:tc>
                  </w:tr>
                  <w:tr>
                    <w:trPr>
                      <w:trHeight w:val="1620" w:hRule="atLeast"/>
                    </w:trPr>
                    <w:tc>
                      <w:tcPr>
                        <w:tcW w:w="658" w:type="dxa"/>
                      </w:tcPr>
                      <w:p>
                        <w:pPr>
                          <w:pStyle w:val="TableParagraph"/>
                          <w:rPr>
                            <w:sz w:val="22"/>
                          </w:rPr>
                        </w:pPr>
                      </w:p>
                      <w:p>
                        <w:pPr>
                          <w:pStyle w:val="TableParagraph"/>
                          <w:spacing w:before="18"/>
                          <w:rPr>
                            <w:sz w:val="11"/>
                          </w:rPr>
                        </w:pPr>
                      </w:p>
                      <w:p>
                        <w:pPr>
                          <w:pStyle w:val="TableParagraph"/>
                          <w:ind w:left="196"/>
                          <w:rPr>
                            <w:rFonts w:ascii="Times New Roman"/>
                            <w:sz w:val="21"/>
                          </w:rPr>
                        </w:pPr>
                        <w:r>
                          <w:rPr>
                            <w:rFonts w:ascii="Times New Roman"/>
                            <w:sz w:val="21"/>
                          </w:rPr>
                          <w:t>2.2</w:t>
                        </w:r>
                      </w:p>
                    </w:tc>
                    <w:tc>
                      <w:tcPr>
                        <w:tcW w:w="4417" w:type="dxa"/>
                      </w:tcPr>
                      <w:p>
                        <w:pPr>
                          <w:pStyle w:val="TableParagraph"/>
                          <w:spacing w:line="168" w:lineRule="auto" w:before="75"/>
                          <w:ind w:left="107" w:right="92"/>
                          <w:jc w:val="both"/>
                          <w:rPr>
                            <w:sz w:val="21"/>
                          </w:rPr>
                        </w:pPr>
                        <w:r>
                          <w:rPr>
                            <w:sz w:val="21"/>
                          </w:rPr>
                          <w:t>项目施工期泥浆水须经沉淀池沉清后排放至连心路市政污水管道或清运，及时清运泥浆；施工期间人员生活废水经预处理后，接入连心路市政污水管道或由环卫部门清运，严禁排入东</w:t>
                        </w:r>
                      </w:p>
                      <w:p>
                        <w:pPr>
                          <w:pStyle w:val="TableParagraph"/>
                          <w:spacing w:line="279" w:lineRule="exact"/>
                          <w:ind w:left="100" w:right="92"/>
                          <w:jc w:val="center"/>
                          <w:rPr>
                            <w:sz w:val="21"/>
                          </w:rPr>
                        </w:pPr>
                        <w:r>
                          <w:rPr>
                            <w:sz w:val="21"/>
                          </w:rPr>
                          <w:t>钱湖。</w:t>
                        </w:r>
                      </w:p>
                    </w:tc>
                    <w:tc>
                      <w:tcPr>
                        <w:tcW w:w="3231" w:type="dxa"/>
                        <w:vMerge/>
                        <w:tcBorders>
                          <w:top w:val="nil"/>
                        </w:tcBorders>
                      </w:tcPr>
                      <w:p>
                        <w:pPr>
                          <w:rPr>
                            <w:sz w:val="2"/>
                            <w:szCs w:val="2"/>
                          </w:rPr>
                        </w:pPr>
                      </w:p>
                    </w:tc>
                  </w:tr>
                  <w:tr>
                    <w:trPr>
                      <w:trHeight w:val="1621" w:hRule="atLeast"/>
                    </w:trPr>
                    <w:tc>
                      <w:tcPr>
                        <w:tcW w:w="658" w:type="dxa"/>
                      </w:tcPr>
                      <w:p>
                        <w:pPr>
                          <w:pStyle w:val="TableParagraph"/>
                          <w:rPr>
                            <w:sz w:val="22"/>
                          </w:rPr>
                        </w:pPr>
                      </w:p>
                      <w:p>
                        <w:pPr>
                          <w:pStyle w:val="TableParagraph"/>
                          <w:spacing w:before="20"/>
                          <w:rPr>
                            <w:sz w:val="11"/>
                          </w:rPr>
                        </w:pPr>
                      </w:p>
                      <w:p>
                        <w:pPr>
                          <w:pStyle w:val="TableParagraph"/>
                          <w:spacing w:before="1"/>
                          <w:ind w:left="196"/>
                          <w:rPr>
                            <w:rFonts w:ascii="Times New Roman"/>
                            <w:sz w:val="21"/>
                          </w:rPr>
                        </w:pPr>
                        <w:r>
                          <w:rPr>
                            <w:rFonts w:ascii="Times New Roman"/>
                            <w:sz w:val="21"/>
                          </w:rPr>
                          <w:t>2.3</w:t>
                        </w:r>
                      </w:p>
                    </w:tc>
                    <w:tc>
                      <w:tcPr>
                        <w:tcW w:w="4417" w:type="dxa"/>
                      </w:tcPr>
                      <w:p>
                        <w:pPr>
                          <w:pStyle w:val="TableParagraph"/>
                          <w:spacing w:line="168" w:lineRule="auto" w:before="77"/>
                          <w:ind w:left="107" w:right="92"/>
                          <w:jc w:val="both"/>
                          <w:rPr>
                            <w:sz w:val="21"/>
                          </w:rPr>
                        </w:pPr>
                        <w:r>
                          <w:rPr>
                            <w:sz w:val="21"/>
                          </w:rPr>
                          <w:t>施项目施工期土石方装运需采取防尘措施，及时清理外运弃土、弃渣，临时堆场要设置围墙和避雨措施，对受项目影响的裸露区域采取合理措施进行修复，同步落实截洪沟、沉沙池等</w:t>
                        </w:r>
                      </w:p>
                      <w:p>
                        <w:pPr>
                          <w:pStyle w:val="TableParagraph"/>
                          <w:spacing w:line="278" w:lineRule="exact"/>
                          <w:ind w:left="100" w:right="92"/>
                          <w:jc w:val="center"/>
                          <w:rPr>
                            <w:sz w:val="21"/>
                          </w:rPr>
                        </w:pPr>
                        <w:r>
                          <w:rPr>
                            <w:sz w:val="21"/>
                          </w:rPr>
                          <w:t>水土保持措。</w:t>
                        </w:r>
                      </w:p>
                    </w:tc>
                    <w:tc>
                      <w:tcPr>
                        <w:tcW w:w="3231" w:type="dxa"/>
                        <w:vMerge/>
                        <w:tcBorders>
                          <w:top w:val="nil"/>
                        </w:tcBorders>
                      </w:tcPr>
                      <w:p>
                        <w:pPr>
                          <w:rPr>
                            <w:sz w:val="2"/>
                            <w:szCs w:val="2"/>
                          </w:rPr>
                        </w:pPr>
                      </w:p>
                    </w:tc>
                  </w:tr>
                  <w:tr>
                    <w:trPr>
                      <w:trHeight w:val="2556" w:hRule="atLeast"/>
                    </w:trPr>
                    <w:tc>
                      <w:tcPr>
                        <w:tcW w:w="658" w:type="dxa"/>
                      </w:tcPr>
                      <w:p>
                        <w:pPr>
                          <w:pStyle w:val="TableParagraph"/>
                          <w:rPr>
                            <w:sz w:val="22"/>
                          </w:rPr>
                        </w:pPr>
                      </w:p>
                      <w:p>
                        <w:pPr>
                          <w:pStyle w:val="TableParagraph"/>
                          <w:rPr>
                            <w:sz w:val="22"/>
                          </w:rPr>
                        </w:pPr>
                      </w:p>
                      <w:p>
                        <w:pPr>
                          <w:pStyle w:val="TableParagraph"/>
                          <w:spacing w:before="20"/>
                          <w:rPr>
                            <w:sz w:val="11"/>
                          </w:rPr>
                        </w:pPr>
                      </w:p>
                      <w:p>
                        <w:pPr>
                          <w:pStyle w:val="TableParagraph"/>
                          <w:ind w:left="196"/>
                          <w:rPr>
                            <w:rFonts w:ascii="Times New Roman"/>
                            <w:sz w:val="21"/>
                          </w:rPr>
                        </w:pPr>
                        <w:r>
                          <w:rPr>
                            <w:rFonts w:ascii="Times New Roman"/>
                            <w:sz w:val="21"/>
                          </w:rPr>
                          <w:t>2.4</w:t>
                        </w:r>
                      </w:p>
                    </w:tc>
                    <w:tc>
                      <w:tcPr>
                        <w:tcW w:w="4417" w:type="dxa"/>
                      </w:tcPr>
                      <w:p>
                        <w:pPr>
                          <w:pStyle w:val="TableParagraph"/>
                          <w:spacing w:before="13"/>
                          <w:rPr>
                            <w:sz w:val="25"/>
                          </w:rPr>
                        </w:pPr>
                      </w:p>
                      <w:p>
                        <w:pPr>
                          <w:pStyle w:val="TableParagraph"/>
                          <w:spacing w:line="168" w:lineRule="auto"/>
                          <w:ind w:left="107" w:right="92"/>
                          <w:jc w:val="center"/>
                          <w:rPr>
                            <w:sz w:val="21"/>
                          </w:rPr>
                        </w:pPr>
                        <w:r>
                          <w:rPr>
                            <w:sz w:val="21"/>
                          </w:rPr>
                          <w:t>项目内排水管网必须雨污分流，地下室要求设置污水管，产生的经营废水经过滤、隔油处理后，接入连心路市政污水管道，排放执行</w:t>
                        </w:r>
                        <w:r>
                          <w:rPr>
                            <w:rFonts w:ascii="Times New Roman" w:eastAsia="Times New Roman"/>
                            <w:sz w:val="21"/>
                          </w:rPr>
                          <w:t>GB8978-1996 </w:t>
                        </w:r>
                        <w:r>
                          <w:rPr>
                            <w:sz w:val="21"/>
                          </w:rPr>
                          <w:t>三级排放标准；本项目雨水接市政雨水管道前要求进行尘沙等预处理</w:t>
                        </w:r>
                      </w:p>
                    </w:tc>
                    <w:tc>
                      <w:tcPr>
                        <w:tcW w:w="3231" w:type="dxa"/>
                      </w:tcPr>
                      <w:p>
                        <w:pPr>
                          <w:pStyle w:val="TableParagraph"/>
                          <w:spacing w:line="168" w:lineRule="auto" w:before="75"/>
                          <w:ind w:left="113" w:right="100"/>
                          <w:jc w:val="center"/>
                          <w:rPr>
                            <w:sz w:val="21"/>
                          </w:rPr>
                        </w:pPr>
                        <w:r>
                          <w:rPr>
                            <w:sz w:val="21"/>
                          </w:rPr>
                          <w:t>项目已实行雨污分流，地下室已设置污水管，已建设化粪池，生活污水管网已接入市政污水管 道。生活污水可经化粪池处理达到《污水综合排放标准》</w:t>
                        </w:r>
                      </w:p>
                      <w:p>
                        <w:pPr>
                          <w:pStyle w:val="TableParagraph"/>
                          <w:spacing w:line="168" w:lineRule="auto" w:before="2"/>
                          <w:ind w:left="69" w:right="56"/>
                          <w:jc w:val="center"/>
                          <w:rPr>
                            <w:sz w:val="21"/>
                          </w:rPr>
                        </w:pPr>
                        <w:r>
                          <w:rPr>
                            <w:sz w:val="21"/>
                          </w:rPr>
                          <w:t>（</w:t>
                        </w:r>
                        <w:r>
                          <w:rPr>
                            <w:rFonts w:ascii="Times New Roman" w:eastAsia="Times New Roman"/>
                            <w:sz w:val="21"/>
                          </w:rPr>
                          <w:t>GB8978-1996</w:t>
                        </w:r>
                        <w:r>
                          <w:rPr>
                            <w:sz w:val="21"/>
                          </w:rPr>
                          <w:t>）三级标准后接入市政污水管道，排往宁波市南区</w:t>
                        </w:r>
                      </w:p>
                      <w:p>
                        <w:pPr>
                          <w:pStyle w:val="TableParagraph"/>
                          <w:spacing w:line="277" w:lineRule="exact"/>
                          <w:ind w:left="138" w:right="130"/>
                          <w:jc w:val="center"/>
                          <w:rPr>
                            <w:sz w:val="21"/>
                          </w:rPr>
                        </w:pPr>
                        <w:r>
                          <w:rPr>
                            <w:sz w:val="21"/>
                          </w:rPr>
                          <w:t>污水处理厂。</w:t>
                        </w:r>
                      </w:p>
                    </w:tc>
                  </w:tr>
                  <w:tr>
                    <w:trPr>
                      <w:trHeight w:val="995" w:hRule="atLeast"/>
                    </w:trPr>
                    <w:tc>
                      <w:tcPr>
                        <w:tcW w:w="658" w:type="dxa"/>
                      </w:tcPr>
                      <w:p>
                        <w:pPr>
                          <w:pStyle w:val="TableParagraph"/>
                          <w:spacing w:before="3"/>
                          <w:rPr>
                            <w:sz w:val="19"/>
                          </w:rPr>
                        </w:pPr>
                      </w:p>
                      <w:p>
                        <w:pPr>
                          <w:pStyle w:val="TableParagraph"/>
                          <w:ind w:left="196"/>
                          <w:rPr>
                            <w:rFonts w:ascii="Times New Roman"/>
                            <w:sz w:val="21"/>
                          </w:rPr>
                        </w:pPr>
                        <w:r>
                          <w:rPr>
                            <w:rFonts w:ascii="Times New Roman"/>
                            <w:sz w:val="21"/>
                          </w:rPr>
                          <w:t>2.5</w:t>
                        </w:r>
                      </w:p>
                    </w:tc>
                    <w:tc>
                      <w:tcPr>
                        <w:tcW w:w="4417" w:type="dxa"/>
                      </w:tcPr>
                      <w:p>
                        <w:pPr>
                          <w:pStyle w:val="TableParagraph"/>
                          <w:spacing w:line="168" w:lineRule="auto" w:before="75"/>
                          <w:ind w:left="107" w:right="94" w:hanging="3"/>
                          <w:jc w:val="center"/>
                          <w:rPr>
                            <w:sz w:val="21"/>
                          </w:rPr>
                        </w:pPr>
                        <w:r>
                          <w:rPr>
                            <w:spacing w:val="-3"/>
                            <w:sz w:val="21"/>
                          </w:rPr>
                          <w:t>厨房产生的油烟废气必须经油烟净化装置处 </w:t>
                        </w:r>
                        <w:r>
                          <w:rPr>
                            <w:spacing w:val="-5"/>
                            <w:sz w:val="21"/>
                          </w:rPr>
                          <w:t>理，废气排放执行 </w:t>
                        </w:r>
                        <w:r>
                          <w:rPr>
                            <w:rFonts w:ascii="Times New Roman" w:eastAsia="Times New Roman"/>
                            <w:spacing w:val="-6"/>
                            <w:sz w:val="21"/>
                          </w:rPr>
                          <w:t>GB18483-2001</w:t>
                        </w:r>
                        <w:r>
                          <w:rPr>
                            <w:spacing w:val="-2"/>
                            <w:sz w:val="21"/>
                          </w:rPr>
                          <w:t>《餐饮业油烟</w:t>
                        </w:r>
                      </w:p>
                      <w:p>
                        <w:pPr>
                          <w:pStyle w:val="TableParagraph"/>
                          <w:spacing w:line="277" w:lineRule="exact"/>
                          <w:ind w:left="100" w:right="92"/>
                          <w:jc w:val="center"/>
                          <w:rPr>
                            <w:sz w:val="21"/>
                          </w:rPr>
                        </w:pPr>
                        <w:r>
                          <w:rPr>
                            <w:sz w:val="21"/>
                          </w:rPr>
                          <w:t>排放标准》。</w:t>
                        </w:r>
                      </w:p>
                    </w:tc>
                    <w:tc>
                      <w:tcPr>
                        <w:tcW w:w="3231" w:type="dxa"/>
                        <w:vMerge w:val="restart"/>
                      </w:tcPr>
                      <w:p>
                        <w:pPr>
                          <w:pStyle w:val="TableParagraph"/>
                          <w:spacing w:before="6"/>
                          <w:rPr>
                            <w:sz w:val="27"/>
                          </w:rPr>
                        </w:pPr>
                      </w:p>
                      <w:p>
                        <w:pPr>
                          <w:pStyle w:val="TableParagraph"/>
                          <w:spacing w:line="168" w:lineRule="auto"/>
                          <w:ind w:left="107" w:right="-15" w:firstLine="36"/>
                          <w:rPr>
                            <w:sz w:val="21"/>
                          </w:rPr>
                        </w:pPr>
                        <w:r>
                          <w:rPr>
                            <w:spacing w:val="-3"/>
                            <w:sz w:val="21"/>
                          </w:rPr>
                          <w:t>本次验收范围为整个项目的二期</w:t>
                        </w:r>
                        <w:r>
                          <w:rPr>
                            <w:spacing w:val="-8"/>
                            <w:sz w:val="21"/>
                          </w:rPr>
                          <w:t>工程，不涉及厨房油烟排放及炉、</w:t>
                        </w:r>
                      </w:p>
                      <w:p>
                        <w:pPr>
                          <w:pStyle w:val="TableParagraph"/>
                          <w:spacing w:line="353" w:lineRule="exact"/>
                          <w:ind w:left="140" w:right="130"/>
                          <w:jc w:val="center"/>
                          <w:rPr>
                            <w:sz w:val="21"/>
                          </w:rPr>
                        </w:pPr>
                        <w:r>
                          <w:rPr>
                            <w:sz w:val="21"/>
                          </w:rPr>
                          <w:t>灶的使用。</w:t>
                        </w:r>
                      </w:p>
                    </w:tc>
                  </w:tr>
                  <w:tr>
                    <w:trPr>
                      <w:trHeight w:val="995" w:hRule="atLeast"/>
                    </w:trPr>
                    <w:tc>
                      <w:tcPr>
                        <w:tcW w:w="658" w:type="dxa"/>
                      </w:tcPr>
                      <w:p>
                        <w:pPr>
                          <w:pStyle w:val="TableParagraph"/>
                          <w:spacing w:before="3"/>
                          <w:rPr>
                            <w:sz w:val="19"/>
                          </w:rPr>
                        </w:pPr>
                      </w:p>
                      <w:p>
                        <w:pPr>
                          <w:pStyle w:val="TableParagraph"/>
                          <w:ind w:left="196"/>
                          <w:rPr>
                            <w:rFonts w:ascii="Times New Roman"/>
                            <w:sz w:val="21"/>
                          </w:rPr>
                        </w:pPr>
                        <w:r>
                          <w:rPr>
                            <w:rFonts w:ascii="Times New Roman"/>
                            <w:sz w:val="21"/>
                          </w:rPr>
                          <w:t>2.6</w:t>
                        </w:r>
                      </w:p>
                    </w:tc>
                    <w:tc>
                      <w:tcPr>
                        <w:tcW w:w="4417" w:type="dxa"/>
                      </w:tcPr>
                      <w:p>
                        <w:pPr>
                          <w:pStyle w:val="TableParagraph"/>
                          <w:spacing w:line="168" w:lineRule="auto" w:before="75"/>
                          <w:ind w:left="107" w:right="92"/>
                          <w:jc w:val="center"/>
                          <w:rPr>
                            <w:sz w:val="21"/>
                          </w:rPr>
                        </w:pPr>
                        <w:r>
                          <w:rPr>
                            <w:sz w:val="21"/>
                          </w:rPr>
                          <w:t>经营过程中使用的炉、灶必须采用先进的燃气设备，使用电、天然气、煤气等清洁能源，不</w:t>
                        </w:r>
                      </w:p>
                      <w:p>
                        <w:pPr>
                          <w:pStyle w:val="TableParagraph"/>
                          <w:spacing w:line="277" w:lineRule="exact"/>
                          <w:ind w:left="103" w:right="92"/>
                          <w:jc w:val="center"/>
                          <w:rPr>
                            <w:sz w:val="21"/>
                          </w:rPr>
                        </w:pPr>
                        <w:r>
                          <w:rPr>
                            <w:sz w:val="21"/>
                          </w:rPr>
                          <w:t>得使用煤</w:t>
                        </w:r>
                      </w:p>
                    </w:tc>
                    <w:tc>
                      <w:tcPr>
                        <w:tcW w:w="3231" w:type="dxa"/>
                        <w:vMerge/>
                        <w:tcBorders>
                          <w:top w:val="nil"/>
                        </w:tcBorders>
                      </w:tcPr>
                      <w:p>
                        <w:pPr>
                          <w:rPr>
                            <w:sz w:val="2"/>
                            <w:szCs w:val="2"/>
                          </w:rPr>
                        </w:pPr>
                      </w:p>
                    </w:tc>
                  </w:tr>
                  <w:tr>
                    <w:trPr>
                      <w:trHeight w:val="996" w:hRule="atLeast"/>
                    </w:trPr>
                    <w:tc>
                      <w:tcPr>
                        <w:tcW w:w="658" w:type="dxa"/>
                      </w:tcPr>
                      <w:p>
                        <w:pPr>
                          <w:pStyle w:val="TableParagraph"/>
                          <w:spacing w:before="3"/>
                          <w:rPr>
                            <w:sz w:val="19"/>
                          </w:rPr>
                        </w:pPr>
                      </w:p>
                      <w:p>
                        <w:pPr>
                          <w:pStyle w:val="TableParagraph"/>
                          <w:ind w:left="196"/>
                          <w:rPr>
                            <w:rFonts w:ascii="Times New Roman"/>
                            <w:sz w:val="21"/>
                          </w:rPr>
                        </w:pPr>
                        <w:r>
                          <w:rPr>
                            <w:rFonts w:ascii="Times New Roman"/>
                            <w:sz w:val="21"/>
                          </w:rPr>
                          <w:t>2.7</w:t>
                        </w:r>
                      </w:p>
                    </w:tc>
                    <w:tc>
                      <w:tcPr>
                        <w:tcW w:w="4417" w:type="dxa"/>
                      </w:tcPr>
                      <w:p>
                        <w:pPr>
                          <w:pStyle w:val="TableParagraph"/>
                          <w:spacing w:line="168" w:lineRule="auto" w:before="75"/>
                          <w:ind w:left="107" w:right="92"/>
                          <w:jc w:val="center"/>
                          <w:rPr>
                            <w:sz w:val="21"/>
                          </w:rPr>
                        </w:pPr>
                        <w:r>
                          <w:rPr>
                            <w:sz w:val="21"/>
                          </w:rPr>
                          <w:t>对经营过程中产生的生活垃圾及食品残渣，需设置定点垃圾箱并配备专人清理，防止影响周</w:t>
                        </w:r>
                      </w:p>
                      <w:p>
                        <w:pPr>
                          <w:pStyle w:val="TableParagraph"/>
                          <w:spacing w:line="278" w:lineRule="exact"/>
                          <w:ind w:left="100" w:right="92"/>
                          <w:jc w:val="center"/>
                          <w:rPr>
                            <w:sz w:val="21"/>
                          </w:rPr>
                        </w:pPr>
                        <w:r>
                          <w:rPr>
                            <w:sz w:val="21"/>
                          </w:rPr>
                          <w:t>围环境</w:t>
                        </w:r>
                      </w:p>
                    </w:tc>
                    <w:tc>
                      <w:tcPr>
                        <w:tcW w:w="3231" w:type="dxa"/>
                      </w:tcPr>
                      <w:p>
                        <w:pPr>
                          <w:pStyle w:val="TableParagraph"/>
                          <w:spacing w:before="19"/>
                          <w:rPr>
                            <w:sz w:val="10"/>
                          </w:rPr>
                        </w:pPr>
                      </w:p>
                      <w:p>
                        <w:pPr>
                          <w:pStyle w:val="TableParagraph"/>
                          <w:spacing w:line="168" w:lineRule="auto"/>
                          <w:ind w:left="774" w:right="130" w:hanging="632"/>
                          <w:rPr>
                            <w:sz w:val="21"/>
                          </w:rPr>
                        </w:pPr>
                        <w:r>
                          <w:rPr>
                            <w:sz w:val="21"/>
                          </w:rPr>
                          <w:t>已合理设置垃圾收集点，委托环卫部门及时清运。</w:t>
                        </w:r>
                      </w:p>
                    </w:tc>
                  </w:tr>
                  <w:tr>
                    <w:trPr>
                      <w:trHeight w:val="1307" w:hRule="atLeast"/>
                    </w:trPr>
                    <w:tc>
                      <w:tcPr>
                        <w:tcW w:w="658" w:type="dxa"/>
                      </w:tcPr>
                      <w:p>
                        <w:pPr>
                          <w:pStyle w:val="TableParagraph"/>
                          <w:spacing w:before="10"/>
                          <w:rPr>
                            <w:sz w:val="26"/>
                          </w:rPr>
                        </w:pPr>
                      </w:p>
                      <w:p>
                        <w:pPr>
                          <w:pStyle w:val="TableParagraph"/>
                          <w:spacing w:before="1"/>
                          <w:ind w:left="196"/>
                          <w:rPr>
                            <w:rFonts w:ascii="Times New Roman"/>
                            <w:sz w:val="21"/>
                          </w:rPr>
                        </w:pPr>
                        <w:r>
                          <w:rPr>
                            <w:rFonts w:ascii="Times New Roman"/>
                            <w:sz w:val="21"/>
                          </w:rPr>
                          <w:t>2.8</w:t>
                        </w:r>
                      </w:p>
                    </w:tc>
                    <w:tc>
                      <w:tcPr>
                        <w:tcW w:w="4417" w:type="dxa"/>
                      </w:tcPr>
                      <w:p>
                        <w:pPr>
                          <w:pStyle w:val="TableParagraph"/>
                          <w:spacing w:line="168" w:lineRule="auto" w:before="75"/>
                          <w:ind w:left="107" w:right="92"/>
                          <w:jc w:val="center"/>
                          <w:rPr>
                            <w:sz w:val="21"/>
                          </w:rPr>
                        </w:pPr>
                        <w:r>
                          <w:rPr>
                            <w:spacing w:val="-3"/>
                            <w:sz w:val="21"/>
                          </w:rPr>
                          <w:t>加强生产经营管理，进行有效隔声、隔热，减少噪声和热辐射对周围环境的不良影响，晚上</w:t>
                        </w:r>
                      </w:p>
                      <w:p>
                        <w:pPr>
                          <w:pStyle w:val="TableParagraph"/>
                          <w:spacing w:line="286" w:lineRule="exact"/>
                          <w:ind w:left="103" w:right="92"/>
                          <w:jc w:val="center"/>
                          <w:rPr>
                            <w:sz w:val="21"/>
                          </w:rPr>
                        </w:pPr>
                        <w:r>
                          <w:rPr>
                            <w:rFonts w:ascii="Times New Roman" w:eastAsia="Times New Roman"/>
                            <w:sz w:val="21"/>
                          </w:rPr>
                          <w:t>10:00</w:t>
                        </w:r>
                        <w:r>
                          <w:rPr>
                            <w:rFonts w:ascii="Times New Roman" w:eastAsia="Times New Roman"/>
                            <w:spacing w:val="6"/>
                            <w:sz w:val="21"/>
                          </w:rPr>
                          <w:t> </w:t>
                        </w:r>
                        <w:r>
                          <w:rPr>
                            <w:sz w:val="21"/>
                          </w:rPr>
                          <w:t>到凌晨 </w:t>
                        </w:r>
                        <w:r>
                          <w:rPr>
                            <w:rFonts w:ascii="Times New Roman" w:eastAsia="Times New Roman"/>
                            <w:sz w:val="21"/>
                          </w:rPr>
                          <w:t>6:00</w:t>
                        </w:r>
                        <w:r>
                          <w:rPr>
                            <w:rFonts w:ascii="Times New Roman" w:eastAsia="Times New Roman"/>
                            <w:spacing w:val="6"/>
                            <w:sz w:val="21"/>
                          </w:rPr>
                          <w:t> </w:t>
                        </w:r>
                        <w:r>
                          <w:rPr>
                            <w:spacing w:val="-3"/>
                            <w:sz w:val="21"/>
                          </w:rPr>
                          <w:t>不得从事有噪声污染的经营</w:t>
                        </w:r>
                      </w:p>
                      <w:p>
                        <w:pPr>
                          <w:pStyle w:val="TableParagraph"/>
                          <w:spacing w:line="303" w:lineRule="exact"/>
                          <w:ind w:left="100" w:right="92"/>
                          <w:jc w:val="center"/>
                          <w:rPr>
                            <w:sz w:val="21"/>
                          </w:rPr>
                        </w:pPr>
                        <w:r>
                          <w:rPr>
                            <w:sz w:val="21"/>
                          </w:rPr>
                          <w:t>活动</w:t>
                        </w:r>
                      </w:p>
                    </w:tc>
                    <w:tc>
                      <w:tcPr>
                        <w:tcW w:w="3231" w:type="dxa"/>
                      </w:tcPr>
                      <w:p>
                        <w:pPr>
                          <w:pStyle w:val="TableParagraph"/>
                          <w:spacing w:before="5"/>
                          <w:rPr>
                            <w:sz w:val="18"/>
                          </w:rPr>
                        </w:pPr>
                      </w:p>
                      <w:p>
                        <w:pPr>
                          <w:pStyle w:val="TableParagraph"/>
                          <w:spacing w:line="168" w:lineRule="auto"/>
                          <w:ind w:left="668" w:right="125" w:hanging="531"/>
                          <w:rPr>
                            <w:sz w:val="21"/>
                          </w:rPr>
                        </w:pPr>
                        <w:r>
                          <w:rPr>
                            <w:sz w:val="21"/>
                          </w:rPr>
                          <w:t>晚上 </w:t>
                        </w:r>
                        <w:r>
                          <w:rPr>
                            <w:rFonts w:ascii="Times New Roman" w:eastAsia="Times New Roman"/>
                            <w:sz w:val="21"/>
                          </w:rPr>
                          <w:t>10:00 </w:t>
                        </w:r>
                        <w:r>
                          <w:rPr>
                            <w:sz w:val="21"/>
                          </w:rPr>
                          <w:t>到凌晨 </w:t>
                        </w:r>
                        <w:r>
                          <w:rPr>
                            <w:rFonts w:ascii="Times New Roman" w:eastAsia="Times New Roman"/>
                            <w:sz w:val="21"/>
                          </w:rPr>
                          <w:t>6:00 </w:t>
                        </w:r>
                        <w:r>
                          <w:rPr>
                            <w:sz w:val="21"/>
                          </w:rPr>
                          <w:t>未从事有噪声污染的经营活动</w:t>
                        </w:r>
                      </w:p>
                    </w:tc>
                  </w:tr>
                  <w:tr>
                    <w:trPr>
                      <w:trHeight w:val="686" w:hRule="atLeast"/>
                    </w:trPr>
                    <w:tc>
                      <w:tcPr>
                        <w:tcW w:w="658" w:type="dxa"/>
                      </w:tcPr>
                      <w:p>
                        <w:pPr>
                          <w:pStyle w:val="TableParagraph"/>
                          <w:spacing w:before="19"/>
                          <w:rPr>
                            <w:sz w:val="11"/>
                          </w:rPr>
                        </w:pPr>
                      </w:p>
                      <w:p>
                        <w:pPr>
                          <w:pStyle w:val="TableParagraph"/>
                          <w:ind w:left="196"/>
                          <w:rPr>
                            <w:rFonts w:ascii="Times New Roman"/>
                            <w:sz w:val="21"/>
                          </w:rPr>
                        </w:pPr>
                        <w:r>
                          <w:rPr>
                            <w:rFonts w:ascii="Times New Roman"/>
                            <w:sz w:val="21"/>
                          </w:rPr>
                          <w:t>2.9</w:t>
                        </w:r>
                      </w:p>
                    </w:tc>
                    <w:tc>
                      <w:tcPr>
                        <w:tcW w:w="4417" w:type="dxa"/>
                      </w:tcPr>
                      <w:p>
                        <w:pPr>
                          <w:pStyle w:val="TableParagraph"/>
                          <w:spacing w:line="363" w:lineRule="exact"/>
                          <w:ind w:left="90" w:right="77"/>
                          <w:jc w:val="center"/>
                          <w:rPr>
                            <w:sz w:val="21"/>
                          </w:rPr>
                        </w:pPr>
                        <w:r>
                          <w:rPr>
                            <w:sz w:val="21"/>
                          </w:rPr>
                          <w:t>未经市级环境保护部门审批同意，不得从事谷</w:t>
                        </w:r>
                      </w:p>
                      <w:p>
                        <w:pPr>
                          <w:pStyle w:val="TableParagraph"/>
                          <w:spacing w:line="303" w:lineRule="exact"/>
                          <w:ind w:left="99" w:right="92"/>
                          <w:jc w:val="center"/>
                          <w:rPr>
                            <w:sz w:val="21"/>
                          </w:rPr>
                        </w:pPr>
                        <w:r>
                          <w:rPr>
                            <w:sz w:val="21"/>
                          </w:rPr>
                          <w:t>子湖水上娱乐活动项目。</w:t>
                        </w:r>
                      </w:p>
                    </w:tc>
                    <w:tc>
                      <w:tcPr>
                        <w:tcW w:w="3231" w:type="dxa"/>
                      </w:tcPr>
                      <w:p>
                        <w:pPr>
                          <w:pStyle w:val="TableParagraph"/>
                          <w:spacing w:before="140"/>
                          <w:ind w:left="136" w:right="130"/>
                          <w:jc w:val="center"/>
                          <w:rPr>
                            <w:sz w:val="21"/>
                          </w:rPr>
                        </w:pPr>
                        <w:r>
                          <w:rPr>
                            <w:sz w:val="21"/>
                          </w:rPr>
                          <w:t>未从事水上娱乐活动项目。</w:t>
                        </w:r>
                      </w:p>
                    </w:tc>
                  </w:tr>
                  <w:tr>
                    <w:trPr>
                      <w:trHeight w:val="371" w:hRule="atLeast"/>
                    </w:trPr>
                    <w:tc>
                      <w:tcPr>
                        <w:tcW w:w="658" w:type="dxa"/>
                      </w:tcPr>
                      <w:p>
                        <w:pPr>
                          <w:pStyle w:val="TableParagraph"/>
                          <w:spacing w:before="94"/>
                          <w:ind w:left="143"/>
                          <w:rPr>
                            <w:rFonts w:ascii="Times New Roman"/>
                            <w:sz w:val="21"/>
                          </w:rPr>
                        </w:pPr>
                        <w:r>
                          <w:rPr>
                            <w:rFonts w:ascii="Times New Roman"/>
                            <w:sz w:val="21"/>
                          </w:rPr>
                          <w:t>2.10</w:t>
                        </w:r>
                      </w:p>
                    </w:tc>
                    <w:tc>
                      <w:tcPr>
                        <w:tcW w:w="4417" w:type="dxa"/>
                      </w:tcPr>
                      <w:p>
                        <w:pPr>
                          <w:pStyle w:val="TableParagraph"/>
                          <w:spacing w:line="352" w:lineRule="exact"/>
                          <w:ind w:left="90" w:right="77"/>
                          <w:jc w:val="center"/>
                          <w:rPr>
                            <w:sz w:val="21"/>
                          </w:rPr>
                        </w:pPr>
                        <w:r>
                          <w:rPr>
                            <w:sz w:val="21"/>
                          </w:rPr>
                          <w:t>项目布局设计时，应考虑机械排风、冷却塔、</w:t>
                        </w:r>
                      </w:p>
                    </w:tc>
                    <w:tc>
                      <w:tcPr>
                        <w:tcW w:w="3231" w:type="dxa"/>
                      </w:tcPr>
                      <w:p>
                        <w:pPr>
                          <w:pStyle w:val="TableParagraph"/>
                          <w:spacing w:line="352" w:lineRule="exact"/>
                          <w:ind w:left="111" w:right="100"/>
                          <w:jc w:val="center"/>
                          <w:rPr>
                            <w:sz w:val="21"/>
                          </w:rPr>
                        </w:pPr>
                        <w:r>
                          <w:rPr>
                            <w:sz w:val="21"/>
                          </w:rPr>
                          <w:t>项目布局设计时，充分考虑了有</w:t>
                        </w:r>
                      </w:p>
                    </w:tc>
                  </w:tr>
                </w:tbl>
                <w:p>
                  <w:pPr>
                    <w:pStyle w:val="BodyText"/>
                  </w:pPr>
                </w:p>
              </w:txbxContent>
            </v:textbox>
            <w10:wrap type="none"/>
          </v:shape>
        </w:pict>
      </w:r>
      <w:r>
        <w:rPr/>
        <w:t>表 </w:t>
      </w:r>
      <w:r>
        <w:rPr>
          <w:rFonts w:ascii="Arial" w:eastAsia="Arial"/>
          <w:b/>
        </w:rPr>
        <w:t>6-1 </w:t>
      </w:r>
      <w:r>
        <w:rPr/>
        <w:t>环评批复中的环保措施落实情况</w:t>
      </w:r>
    </w:p>
    <w:p>
      <w:pPr>
        <w:spacing w:after="0" w:line="416" w:lineRule="exact"/>
        <w:sectPr>
          <w:pgSz w:w="11910" w:h="17580"/>
          <w:pgMar w:header="877" w:footer="1146" w:top="1380" w:bottom="1340" w:left="1300" w:right="800"/>
        </w:sectPr>
      </w:pPr>
    </w:p>
    <w:p>
      <w:pPr>
        <w:pStyle w:val="BodyText"/>
        <w:spacing w:before="6"/>
        <w:rPr>
          <w:sz w:val="2"/>
        </w:rPr>
      </w:pPr>
    </w:p>
    <w:tbl>
      <w:tblPr>
        <w:tblW w:w="0" w:type="auto"/>
        <w:jc w:val="left"/>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417"/>
        <w:gridCol w:w="3231"/>
      </w:tblGrid>
      <w:tr>
        <w:trPr>
          <w:trHeight w:val="1871" w:hRule="atLeast"/>
        </w:trPr>
        <w:tc>
          <w:tcPr>
            <w:tcW w:w="658" w:type="dxa"/>
          </w:tcPr>
          <w:p>
            <w:pPr>
              <w:pStyle w:val="TableParagraph"/>
              <w:rPr>
                <w:rFonts w:ascii="Times New Roman"/>
                <w:sz w:val="20"/>
              </w:rPr>
            </w:pPr>
          </w:p>
        </w:tc>
        <w:tc>
          <w:tcPr>
            <w:tcW w:w="4417" w:type="dxa"/>
          </w:tcPr>
          <w:p>
            <w:pPr>
              <w:pStyle w:val="TableParagraph"/>
              <w:spacing w:line="168" w:lineRule="auto" w:before="15"/>
              <w:ind w:left="107" w:right="92"/>
              <w:jc w:val="both"/>
              <w:rPr>
                <w:sz w:val="21"/>
              </w:rPr>
            </w:pPr>
            <w:r>
              <w:rPr>
                <w:sz w:val="21"/>
              </w:rPr>
              <w:t>备用发电机房等有噪音产生的设备的影响，靠连心路一侧种植绿化，</w:t>
            </w:r>
            <w:r>
              <w:rPr>
                <w:rFonts w:ascii="Times New Roman" w:eastAsia="Times New Roman"/>
                <w:sz w:val="21"/>
              </w:rPr>
              <w:t>I </w:t>
            </w:r>
            <w:r>
              <w:rPr>
                <w:sz w:val="21"/>
              </w:rPr>
              <w:t>地块创业产业设施必须安装双层隔声玻璃，如对外出售，必须在商业用房销售合同中进行说明，加强生产经营管理，进行有效隔声、隔热，减少噪声和热辐射</w:t>
            </w:r>
          </w:p>
          <w:p>
            <w:pPr>
              <w:pStyle w:val="TableParagraph"/>
              <w:spacing w:line="279" w:lineRule="exact"/>
              <w:ind w:left="1050"/>
              <w:rPr>
                <w:sz w:val="21"/>
              </w:rPr>
            </w:pPr>
            <w:r>
              <w:rPr>
                <w:sz w:val="21"/>
              </w:rPr>
              <w:t>对周围环境的不良影响。</w:t>
            </w:r>
          </w:p>
        </w:tc>
        <w:tc>
          <w:tcPr>
            <w:tcW w:w="3231" w:type="dxa"/>
          </w:tcPr>
          <w:p>
            <w:pPr>
              <w:pStyle w:val="TableParagraph"/>
              <w:spacing w:line="168" w:lineRule="auto" w:before="15"/>
              <w:ind w:left="143" w:right="130"/>
              <w:jc w:val="both"/>
              <w:rPr>
                <w:sz w:val="21"/>
              </w:rPr>
            </w:pPr>
            <w:r>
              <w:rPr>
                <w:sz w:val="21"/>
              </w:rPr>
              <w:t>噪音产生的设备的影响，目前配电设备、水泵、风机等配套设备已安装在专用设备房内，所有设备已选用节能低噪设备，并基本按环评要求合理布局采取有效隔</w:t>
            </w:r>
          </w:p>
          <w:p>
            <w:pPr>
              <w:pStyle w:val="TableParagraph"/>
              <w:spacing w:line="279" w:lineRule="exact"/>
              <w:ind w:left="983"/>
              <w:rPr>
                <w:sz w:val="21"/>
              </w:rPr>
            </w:pPr>
            <w:r>
              <w:rPr>
                <w:sz w:val="21"/>
              </w:rPr>
              <w:t>声、减振措施</w:t>
            </w:r>
          </w:p>
        </w:tc>
      </w:tr>
      <w:tr>
        <w:trPr>
          <w:trHeight w:val="1307" w:hRule="atLeast"/>
        </w:trPr>
        <w:tc>
          <w:tcPr>
            <w:tcW w:w="658" w:type="dxa"/>
          </w:tcPr>
          <w:p>
            <w:pPr>
              <w:pStyle w:val="TableParagraph"/>
              <w:spacing w:before="10"/>
              <w:rPr>
                <w:sz w:val="26"/>
              </w:rPr>
            </w:pPr>
          </w:p>
          <w:p>
            <w:pPr>
              <w:pStyle w:val="TableParagraph"/>
              <w:spacing w:before="1"/>
              <w:ind w:left="275"/>
              <w:rPr>
                <w:rFonts w:ascii="Times New Roman"/>
                <w:sz w:val="21"/>
              </w:rPr>
            </w:pPr>
            <w:r>
              <w:rPr>
                <w:rFonts w:ascii="Times New Roman"/>
                <w:w w:val="100"/>
                <w:sz w:val="21"/>
              </w:rPr>
              <w:t>3</w:t>
            </w:r>
          </w:p>
        </w:tc>
        <w:tc>
          <w:tcPr>
            <w:tcW w:w="4417" w:type="dxa"/>
          </w:tcPr>
          <w:p>
            <w:pPr>
              <w:pStyle w:val="TableParagraph"/>
              <w:spacing w:line="168" w:lineRule="auto" w:before="75"/>
              <w:ind w:left="107" w:right="92"/>
              <w:jc w:val="both"/>
              <w:rPr>
                <w:sz w:val="21"/>
              </w:rPr>
            </w:pPr>
            <w:r>
              <w:rPr>
                <w:sz w:val="21"/>
              </w:rPr>
              <w:t>根据《建设项目环境保护管理条例》规定，建设单位在交付使用前，应当向审批该项目的环</w:t>
            </w:r>
            <w:r>
              <w:rPr>
                <w:w w:val="105"/>
                <w:sz w:val="21"/>
              </w:rPr>
              <w:t>境保护行政主管部门申请“三同时”验收，经</w:t>
            </w:r>
          </w:p>
          <w:p>
            <w:pPr>
              <w:pStyle w:val="TableParagraph"/>
              <w:spacing w:line="278" w:lineRule="exact"/>
              <w:ind w:left="736"/>
              <w:rPr>
                <w:sz w:val="21"/>
              </w:rPr>
            </w:pPr>
            <w:r>
              <w:rPr>
                <w:sz w:val="21"/>
              </w:rPr>
              <w:t>预验收合格后，项目方可交付。</w:t>
            </w:r>
          </w:p>
        </w:tc>
        <w:tc>
          <w:tcPr>
            <w:tcW w:w="3231" w:type="dxa"/>
          </w:tcPr>
          <w:p>
            <w:pPr>
              <w:pStyle w:val="TableParagraph"/>
              <w:spacing w:before="5"/>
              <w:rPr>
                <w:sz w:val="18"/>
              </w:rPr>
            </w:pPr>
          </w:p>
          <w:p>
            <w:pPr>
              <w:pStyle w:val="TableParagraph"/>
              <w:spacing w:line="168" w:lineRule="auto"/>
              <w:ind w:left="774" w:right="130" w:hanging="632"/>
              <w:rPr>
                <w:sz w:val="21"/>
              </w:rPr>
            </w:pPr>
            <w:r>
              <w:rPr>
                <w:sz w:val="21"/>
              </w:rPr>
              <w:t>项目基本执行了三同时制度，正在委托验收工作。</w:t>
            </w:r>
          </w:p>
        </w:tc>
      </w:tr>
      <w:tr>
        <w:trPr>
          <w:trHeight w:val="997" w:hRule="atLeast"/>
        </w:trPr>
        <w:tc>
          <w:tcPr>
            <w:tcW w:w="658" w:type="dxa"/>
          </w:tcPr>
          <w:p>
            <w:pPr>
              <w:pStyle w:val="TableParagraph"/>
              <w:spacing w:before="3"/>
              <w:rPr>
                <w:sz w:val="19"/>
              </w:rPr>
            </w:pPr>
          </w:p>
          <w:p>
            <w:pPr>
              <w:pStyle w:val="TableParagraph"/>
              <w:ind w:left="275"/>
              <w:rPr>
                <w:rFonts w:ascii="Times New Roman"/>
                <w:sz w:val="21"/>
              </w:rPr>
            </w:pPr>
            <w:r>
              <w:rPr>
                <w:rFonts w:ascii="Times New Roman"/>
                <w:w w:val="100"/>
                <w:sz w:val="21"/>
              </w:rPr>
              <w:t>4</w:t>
            </w:r>
          </w:p>
        </w:tc>
        <w:tc>
          <w:tcPr>
            <w:tcW w:w="4417" w:type="dxa"/>
          </w:tcPr>
          <w:p>
            <w:pPr>
              <w:pStyle w:val="TableParagraph"/>
              <w:spacing w:line="168" w:lineRule="auto" w:before="75"/>
              <w:ind w:left="107" w:right="92"/>
              <w:jc w:val="center"/>
              <w:rPr>
                <w:sz w:val="21"/>
              </w:rPr>
            </w:pPr>
            <w:r>
              <w:rPr>
                <w:sz w:val="21"/>
              </w:rPr>
              <w:t>《报告书》批准后，若建设项目的性质、规模或者采用的生产工艺发生重大变化的，应当重</w:t>
            </w:r>
          </w:p>
          <w:p>
            <w:pPr>
              <w:pStyle w:val="TableParagraph"/>
              <w:spacing w:line="280" w:lineRule="exact"/>
              <w:ind w:left="100" w:right="92"/>
              <w:jc w:val="center"/>
              <w:rPr>
                <w:sz w:val="21"/>
              </w:rPr>
            </w:pPr>
            <w:r>
              <w:rPr>
                <w:sz w:val="21"/>
              </w:rPr>
              <w:t>新报批环评。</w:t>
            </w:r>
          </w:p>
        </w:tc>
        <w:tc>
          <w:tcPr>
            <w:tcW w:w="3231" w:type="dxa"/>
          </w:tcPr>
          <w:p>
            <w:pPr>
              <w:pStyle w:val="TableParagraph"/>
              <w:spacing w:before="18"/>
              <w:rPr>
                <w:sz w:val="13"/>
              </w:rPr>
            </w:pPr>
          </w:p>
          <w:p>
            <w:pPr>
              <w:pStyle w:val="TableParagraph"/>
              <w:ind w:left="668"/>
              <w:rPr>
                <w:sz w:val="21"/>
              </w:rPr>
            </w:pPr>
            <w:r>
              <w:rPr>
                <w:sz w:val="21"/>
              </w:rPr>
              <w:t>本项目无重大变化。</w:t>
            </w:r>
          </w:p>
        </w:tc>
      </w:tr>
    </w:tbl>
    <w:p>
      <w:pPr>
        <w:pStyle w:val="Heading1"/>
        <w:numPr>
          <w:ilvl w:val="0"/>
          <w:numId w:val="2"/>
        </w:numPr>
        <w:tabs>
          <w:tab w:pos="917" w:val="left" w:leader="none"/>
          <w:tab w:pos="918" w:val="left" w:leader="none"/>
        </w:tabs>
        <w:spacing w:line="630" w:lineRule="exact" w:before="0" w:after="0"/>
        <w:ind w:left="918" w:right="0" w:hanging="420"/>
        <w:jc w:val="left"/>
        <w:rPr>
          <w:rFonts w:ascii="Noto Sans CJK JP Regular" w:eastAsia="Noto Sans CJK JP Regular" w:hint="eastAsia"/>
        </w:rPr>
      </w:pPr>
      <w:bookmarkStart w:name="_TOC_250004" w:id="7"/>
      <w:bookmarkEnd w:id="7"/>
      <w:r>
        <w:rPr>
          <w:rFonts w:ascii="Noto Sans CJK JP Regular" w:eastAsia="Noto Sans CJK JP Regular" w:hint="eastAsia"/>
        </w:rPr>
        <w:t>环境影响调查</w:t>
      </w:r>
    </w:p>
    <w:tbl>
      <w:tblPr>
        <w:tblW w:w="0" w:type="auto"/>
        <w:jc w:val="left"/>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4"/>
        <w:gridCol w:w="1133"/>
        <w:gridCol w:w="6239"/>
      </w:tblGrid>
      <w:tr>
        <w:trPr>
          <w:trHeight w:val="3275" w:hRule="atLeast"/>
        </w:trPr>
        <w:tc>
          <w:tcPr>
            <w:tcW w:w="934"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
              <w:rPr>
                <w:sz w:val="21"/>
              </w:rPr>
            </w:pPr>
          </w:p>
          <w:p>
            <w:pPr>
              <w:pStyle w:val="TableParagraph"/>
              <w:spacing w:before="1"/>
              <w:ind w:left="151"/>
              <w:rPr>
                <w:sz w:val="21"/>
              </w:rPr>
            </w:pPr>
            <w:r>
              <w:rPr>
                <w:sz w:val="21"/>
              </w:rPr>
              <w:t>施工期</w:t>
            </w:r>
          </w:p>
        </w:tc>
        <w:tc>
          <w:tcPr>
            <w:tcW w:w="1133" w:type="dxa"/>
          </w:tcPr>
          <w:p>
            <w:pPr>
              <w:pStyle w:val="TableParagraph"/>
              <w:rPr>
                <w:sz w:val="20"/>
              </w:rPr>
            </w:pPr>
          </w:p>
          <w:p>
            <w:pPr>
              <w:pStyle w:val="TableParagraph"/>
              <w:rPr>
                <w:sz w:val="20"/>
              </w:rPr>
            </w:pPr>
          </w:p>
          <w:p>
            <w:pPr>
              <w:pStyle w:val="TableParagraph"/>
              <w:spacing w:before="7"/>
              <w:rPr>
                <w:sz w:val="27"/>
              </w:rPr>
            </w:pPr>
          </w:p>
          <w:p>
            <w:pPr>
              <w:pStyle w:val="TableParagraph"/>
              <w:spacing w:before="1"/>
              <w:ind w:left="126" w:right="116"/>
              <w:jc w:val="center"/>
              <w:rPr>
                <w:sz w:val="21"/>
              </w:rPr>
            </w:pPr>
            <w:r>
              <w:rPr>
                <w:sz w:val="21"/>
              </w:rPr>
              <w:t>生态影响</w:t>
            </w:r>
          </w:p>
        </w:tc>
        <w:tc>
          <w:tcPr>
            <w:tcW w:w="6239" w:type="dxa"/>
          </w:tcPr>
          <w:p>
            <w:pPr>
              <w:pStyle w:val="TableParagraph"/>
              <w:spacing w:line="252" w:lineRule="auto"/>
              <w:ind w:left="107" w:right="94"/>
              <w:jc w:val="both"/>
              <w:rPr>
                <w:sz w:val="21"/>
              </w:rPr>
            </w:pPr>
            <w:r>
              <w:rPr>
                <w:spacing w:val="-8"/>
                <w:sz w:val="21"/>
              </w:rPr>
              <w:t>项目位于宁波市东钱湖畔，无指定的陆生动物保护区，生物多样性</w:t>
            </w:r>
            <w:r>
              <w:rPr>
                <w:spacing w:val="-11"/>
                <w:sz w:val="21"/>
              </w:rPr>
              <w:t>水平较低，故本项目的建设对它们的影响不大。项目建设前区内为空地，植被较少或已被破坏，施工时将成为缺乏植被的裸地，但随着施工期的结束，景观将会得到逐步的恢复和改善。项目施工期做好水土保持工作，对剥离的表土回填用于绿化覆土，采取切实可行的水土保持措施，使水土流失控制在最小的范围内，逐步消除工程</w:t>
            </w:r>
          </w:p>
          <w:p>
            <w:pPr>
              <w:pStyle w:val="TableParagraph"/>
              <w:ind w:left="107"/>
              <w:jc w:val="both"/>
              <w:rPr>
                <w:sz w:val="21"/>
              </w:rPr>
            </w:pPr>
            <w:r>
              <w:rPr>
                <w:sz w:val="21"/>
              </w:rPr>
              <w:t>造成的不利影响。</w:t>
            </w:r>
          </w:p>
        </w:tc>
      </w:tr>
      <w:tr>
        <w:trPr>
          <w:trHeight w:val="2339" w:hRule="atLeast"/>
        </w:trPr>
        <w:tc>
          <w:tcPr>
            <w:tcW w:w="934" w:type="dxa"/>
            <w:vMerge/>
            <w:tcBorders>
              <w:top w:val="nil"/>
            </w:tcBorders>
          </w:tcPr>
          <w:p>
            <w:pPr>
              <w:rPr>
                <w:sz w:val="2"/>
                <w:szCs w:val="2"/>
              </w:rPr>
            </w:pPr>
          </w:p>
        </w:tc>
        <w:tc>
          <w:tcPr>
            <w:tcW w:w="1133" w:type="dxa"/>
          </w:tcPr>
          <w:p>
            <w:pPr>
              <w:pStyle w:val="TableParagraph"/>
              <w:rPr>
                <w:sz w:val="20"/>
              </w:rPr>
            </w:pPr>
          </w:p>
          <w:p>
            <w:pPr>
              <w:pStyle w:val="TableParagraph"/>
              <w:spacing w:before="6"/>
              <w:rPr>
                <w:sz w:val="25"/>
              </w:rPr>
            </w:pPr>
          </w:p>
          <w:p>
            <w:pPr>
              <w:pStyle w:val="TableParagraph"/>
              <w:ind w:left="126" w:right="116"/>
              <w:jc w:val="center"/>
              <w:rPr>
                <w:sz w:val="21"/>
              </w:rPr>
            </w:pPr>
            <w:r>
              <w:rPr>
                <w:sz w:val="21"/>
              </w:rPr>
              <w:t>污染影响</w:t>
            </w:r>
          </w:p>
        </w:tc>
        <w:tc>
          <w:tcPr>
            <w:tcW w:w="6239" w:type="dxa"/>
          </w:tcPr>
          <w:p>
            <w:pPr>
              <w:pStyle w:val="TableParagraph"/>
              <w:spacing w:line="252" w:lineRule="auto"/>
              <w:ind w:left="107" w:right="22"/>
              <w:jc w:val="both"/>
              <w:rPr>
                <w:sz w:val="21"/>
              </w:rPr>
            </w:pPr>
            <w:r>
              <w:rPr>
                <w:spacing w:val="-7"/>
                <w:sz w:val="21"/>
              </w:rPr>
              <w:t>按环评要求基本做好了建筑施工污水、建筑施工噪声、扬尘及建筑</w:t>
            </w:r>
            <w:r>
              <w:rPr>
                <w:spacing w:val="-5"/>
                <w:sz w:val="21"/>
              </w:rPr>
              <w:t>垃圾等污染物治理，做好了水土保持工作，对周边环境影响不大； </w:t>
            </w:r>
            <w:r>
              <w:rPr>
                <w:spacing w:val="-4"/>
                <w:sz w:val="21"/>
              </w:rPr>
              <w:t>文明施工、合法施工，夜间</w:t>
            </w:r>
            <w:r>
              <w:rPr>
                <w:sz w:val="21"/>
              </w:rPr>
              <w:t>（</w:t>
            </w:r>
            <w:r>
              <w:rPr>
                <w:rFonts w:ascii="Times New Roman" w:eastAsia="Times New Roman"/>
                <w:sz w:val="21"/>
              </w:rPr>
              <w:t>22:00-06:00</w:t>
            </w:r>
            <w:r>
              <w:rPr>
                <w:sz w:val="21"/>
              </w:rPr>
              <w:t>）</w:t>
            </w:r>
            <w:r>
              <w:rPr>
                <w:spacing w:val="-3"/>
                <w:sz w:val="21"/>
              </w:rPr>
              <w:t>基本未进行施工作业， </w:t>
            </w:r>
            <w:r>
              <w:rPr>
                <w:spacing w:val="-7"/>
                <w:sz w:val="21"/>
              </w:rPr>
              <w:t>施工期噪声基本符合施工期场界噪声标准。根据调查，对外界环境</w:t>
            </w:r>
          </w:p>
          <w:p>
            <w:pPr>
              <w:pStyle w:val="TableParagraph"/>
              <w:ind w:left="107"/>
              <w:jc w:val="both"/>
              <w:rPr>
                <w:sz w:val="21"/>
              </w:rPr>
            </w:pPr>
            <w:r>
              <w:rPr>
                <w:sz w:val="21"/>
              </w:rPr>
              <w:t>影响不大。</w:t>
            </w:r>
          </w:p>
        </w:tc>
      </w:tr>
      <w:tr>
        <w:trPr>
          <w:trHeight w:val="791" w:hRule="atLeast"/>
        </w:trPr>
        <w:tc>
          <w:tcPr>
            <w:tcW w:w="934" w:type="dxa"/>
            <w:vMerge/>
            <w:tcBorders>
              <w:top w:val="nil"/>
            </w:tcBorders>
          </w:tcPr>
          <w:p>
            <w:pPr>
              <w:rPr>
                <w:sz w:val="2"/>
                <w:szCs w:val="2"/>
              </w:rPr>
            </w:pPr>
          </w:p>
        </w:tc>
        <w:tc>
          <w:tcPr>
            <w:tcW w:w="1133" w:type="dxa"/>
          </w:tcPr>
          <w:p>
            <w:pPr>
              <w:pStyle w:val="TableParagraph"/>
              <w:spacing w:before="17"/>
              <w:rPr>
                <w:sz w:val="8"/>
              </w:rPr>
            </w:pPr>
          </w:p>
          <w:p>
            <w:pPr>
              <w:pStyle w:val="TableParagraph"/>
              <w:spacing w:before="1"/>
              <w:ind w:left="126" w:right="116"/>
              <w:jc w:val="center"/>
              <w:rPr>
                <w:sz w:val="21"/>
              </w:rPr>
            </w:pPr>
            <w:r>
              <w:rPr>
                <w:sz w:val="21"/>
              </w:rPr>
              <w:t>社会影响</w:t>
            </w:r>
          </w:p>
        </w:tc>
        <w:tc>
          <w:tcPr>
            <w:tcW w:w="6239" w:type="dxa"/>
          </w:tcPr>
          <w:p>
            <w:pPr>
              <w:pStyle w:val="TableParagraph"/>
              <w:spacing w:before="156"/>
              <w:ind w:left="107"/>
              <w:rPr>
                <w:sz w:val="21"/>
              </w:rPr>
            </w:pPr>
            <w:r>
              <w:rPr>
                <w:sz w:val="21"/>
              </w:rPr>
              <w:t>项目建设期间未引起居民环保投诉。</w:t>
            </w:r>
          </w:p>
        </w:tc>
      </w:tr>
      <w:tr>
        <w:trPr>
          <w:trHeight w:val="1272" w:hRule="atLeast"/>
        </w:trPr>
        <w:tc>
          <w:tcPr>
            <w:tcW w:w="934" w:type="dxa"/>
            <w:vMerge w:val="restart"/>
          </w:tcPr>
          <w:p>
            <w:pPr>
              <w:pStyle w:val="TableParagraph"/>
              <w:rPr>
                <w:sz w:val="20"/>
              </w:rPr>
            </w:pPr>
          </w:p>
          <w:p>
            <w:pPr>
              <w:pStyle w:val="TableParagraph"/>
              <w:rPr>
                <w:sz w:val="20"/>
              </w:rPr>
            </w:pPr>
          </w:p>
          <w:p>
            <w:pPr>
              <w:pStyle w:val="TableParagraph"/>
              <w:spacing w:before="16"/>
              <w:rPr>
                <w:sz w:val="16"/>
              </w:rPr>
            </w:pPr>
          </w:p>
          <w:p>
            <w:pPr>
              <w:pStyle w:val="TableParagraph"/>
              <w:ind w:left="151"/>
              <w:rPr>
                <w:sz w:val="21"/>
              </w:rPr>
            </w:pPr>
            <w:r>
              <w:rPr>
                <w:sz w:val="21"/>
              </w:rPr>
              <w:t>运行期</w:t>
            </w:r>
          </w:p>
        </w:tc>
        <w:tc>
          <w:tcPr>
            <w:tcW w:w="1133" w:type="dxa"/>
          </w:tcPr>
          <w:p>
            <w:pPr>
              <w:pStyle w:val="TableParagraph"/>
              <w:spacing w:before="4"/>
              <w:rPr>
                <w:sz w:val="20"/>
              </w:rPr>
            </w:pPr>
          </w:p>
          <w:p>
            <w:pPr>
              <w:pStyle w:val="TableParagraph"/>
              <w:ind w:left="126" w:right="116"/>
              <w:jc w:val="center"/>
              <w:rPr>
                <w:sz w:val="21"/>
              </w:rPr>
            </w:pPr>
            <w:r>
              <w:rPr>
                <w:sz w:val="21"/>
              </w:rPr>
              <w:t>生态影响</w:t>
            </w:r>
          </w:p>
        </w:tc>
        <w:tc>
          <w:tcPr>
            <w:tcW w:w="6239" w:type="dxa"/>
          </w:tcPr>
          <w:p>
            <w:pPr>
              <w:pStyle w:val="TableParagraph"/>
              <w:spacing w:line="252" w:lineRule="auto" w:before="161"/>
              <w:ind w:left="107" w:right="94"/>
              <w:rPr>
                <w:sz w:val="21"/>
              </w:rPr>
            </w:pPr>
            <w:r>
              <w:rPr>
                <w:spacing w:val="-9"/>
                <w:sz w:val="21"/>
              </w:rPr>
              <w:t>符合当地规划要求。营运期的各类污染均被处理达标排放，对外环</w:t>
            </w:r>
            <w:r>
              <w:rPr>
                <w:spacing w:val="-5"/>
                <w:sz w:val="21"/>
              </w:rPr>
              <w:t>境影响不大。因此对当地的生态环境影响不大。</w:t>
            </w:r>
          </w:p>
        </w:tc>
      </w:tr>
      <w:tr>
        <w:trPr>
          <w:trHeight w:val="1545" w:hRule="atLeast"/>
        </w:trPr>
        <w:tc>
          <w:tcPr>
            <w:tcW w:w="934" w:type="dxa"/>
            <w:vMerge/>
            <w:tcBorders>
              <w:top w:val="nil"/>
            </w:tcBorders>
          </w:tcPr>
          <w:p>
            <w:pPr>
              <w:rPr>
                <w:sz w:val="2"/>
                <w:szCs w:val="2"/>
              </w:rPr>
            </w:pPr>
          </w:p>
        </w:tc>
        <w:tc>
          <w:tcPr>
            <w:tcW w:w="1133" w:type="dxa"/>
          </w:tcPr>
          <w:p>
            <w:pPr>
              <w:pStyle w:val="TableParagraph"/>
              <w:spacing w:before="10"/>
              <w:rPr>
                <w:sz w:val="26"/>
              </w:rPr>
            </w:pPr>
          </w:p>
          <w:p>
            <w:pPr>
              <w:pStyle w:val="TableParagraph"/>
              <w:ind w:left="126" w:right="116"/>
              <w:jc w:val="center"/>
              <w:rPr>
                <w:sz w:val="21"/>
              </w:rPr>
            </w:pPr>
            <w:r>
              <w:rPr>
                <w:sz w:val="21"/>
              </w:rPr>
              <w:t>污染影响</w:t>
            </w:r>
          </w:p>
        </w:tc>
        <w:tc>
          <w:tcPr>
            <w:tcW w:w="6239" w:type="dxa"/>
          </w:tcPr>
          <w:p>
            <w:pPr>
              <w:pStyle w:val="TableParagraph"/>
              <w:spacing w:before="62"/>
              <w:ind w:left="107"/>
              <w:rPr>
                <w:sz w:val="21"/>
              </w:rPr>
            </w:pPr>
            <w:r>
              <w:rPr>
                <w:sz w:val="21"/>
              </w:rPr>
              <w:t>本项目产生的生活污水经处理后，达到《污水综合排放标准》</w:t>
            </w:r>
          </w:p>
          <w:p>
            <w:pPr>
              <w:pStyle w:val="TableParagraph"/>
              <w:spacing w:line="252" w:lineRule="auto" w:before="23"/>
              <w:ind w:left="107" w:right="52"/>
              <w:rPr>
                <w:sz w:val="21"/>
              </w:rPr>
            </w:pPr>
            <w:r>
              <w:rPr>
                <w:sz w:val="21"/>
              </w:rPr>
              <w:t>（</w:t>
            </w:r>
            <w:r>
              <w:rPr>
                <w:rFonts w:ascii="Times New Roman" w:eastAsia="Times New Roman"/>
                <w:sz w:val="21"/>
              </w:rPr>
              <w:t>GB8978-1996</w:t>
            </w:r>
            <w:r>
              <w:rPr>
                <w:sz w:val="21"/>
              </w:rPr>
              <w:t>）三级标准后纳入市政污水管网，生活垃圾委托环卫部门日清运至填埋场处理，将对外界环境影响很小。</w:t>
            </w:r>
          </w:p>
        </w:tc>
      </w:tr>
    </w:tbl>
    <w:p>
      <w:pPr>
        <w:spacing w:after="0" w:line="252" w:lineRule="auto"/>
        <w:rPr>
          <w:sz w:val="21"/>
        </w:rPr>
        <w:sectPr>
          <w:pgSz w:w="11910" w:h="17580"/>
          <w:pgMar w:header="877" w:footer="1146" w:top="1380" w:bottom="1340" w:left="1300" w:right="800"/>
        </w:sectPr>
      </w:pPr>
    </w:p>
    <w:p>
      <w:pPr>
        <w:pStyle w:val="BodyText"/>
        <w:spacing w:before="6"/>
        <w:rPr>
          <w:sz w:val="2"/>
        </w:rPr>
      </w:pPr>
      <w:r>
        <w:rPr/>
        <w:pict>
          <v:shape style="position:absolute;margin-left:181.339996pt;margin-top:336.170013pt;width:314.5pt;height:366.65pt;mso-position-horizontal-relative:page;mso-position-vertical-relative:page;z-index:181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854"/>
                    <w:gridCol w:w="712"/>
                    <w:gridCol w:w="849"/>
                    <w:gridCol w:w="707"/>
                    <w:gridCol w:w="709"/>
                    <w:gridCol w:w="848"/>
                    <w:gridCol w:w="707"/>
                  </w:tblGrid>
                  <w:tr>
                    <w:trPr>
                      <w:trHeight w:val="371" w:hRule="atLeast"/>
                    </w:trPr>
                    <w:tc>
                      <w:tcPr>
                        <w:tcW w:w="881" w:type="dxa"/>
                        <w:vMerge w:val="restart"/>
                      </w:tcPr>
                      <w:p>
                        <w:pPr>
                          <w:pStyle w:val="TableParagraph"/>
                          <w:spacing w:before="1"/>
                          <w:rPr>
                            <w:sz w:val="9"/>
                          </w:rPr>
                        </w:pPr>
                      </w:p>
                      <w:p>
                        <w:pPr>
                          <w:pStyle w:val="TableParagraph"/>
                          <w:spacing w:line="201" w:lineRule="auto"/>
                          <w:ind w:left="230" w:right="216"/>
                          <w:rPr>
                            <w:sz w:val="21"/>
                          </w:rPr>
                        </w:pPr>
                        <w:r>
                          <w:rPr>
                            <w:sz w:val="21"/>
                          </w:rPr>
                          <w:t>检测日期</w:t>
                        </w:r>
                      </w:p>
                    </w:tc>
                    <w:tc>
                      <w:tcPr>
                        <w:tcW w:w="854" w:type="dxa"/>
                        <w:vMerge w:val="restart"/>
                      </w:tcPr>
                      <w:p>
                        <w:pPr>
                          <w:pStyle w:val="TableParagraph"/>
                          <w:spacing w:before="1"/>
                          <w:rPr>
                            <w:sz w:val="9"/>
                          </w:rPr>
                        </w:pPr>
                      </w:p>
                      <w:p>
                        <w:pPr>
                          <w:pStyle w:val="TableParagraph"/>
                          <w:spacing w:line="201" w:lineRule="auto"/>
                          <w:ind w:left="216" w:right="97" w:hanging="106"/>
                          <w:rPr>
                            <w:sz w:val="21"/>
                          </w:rPr>
                        </w:pPr>
                        <w:r>
                          <w:rPr>
                            <w:sz w:val="21"/>
                          </w:rPr>
                          <w:t>检测点位置</w:t>
                        </w:r>
                      </w:p>
                    </w:tc>
                    <w:tc>
                      <w:tcPr>
                        <w:tcW w:w="2268" w:type="dxa"/>
                        <w:gridSpan w:val="3"/>
                      </w:tcPr>
                      <w:p>
                        <w:pPr>
                          <w:pStyle w:val="TableParagraph"/>
                          <w:spacing w:line="352" w:lineRule="exact"/>
                          <w:ind w:left="300"/>
                          <w:rPr>
                            <w:sz w:val="21"/>
                          </w:rPr>
                        </w:pPr>
                        <w:r>
                          <w:rPr>
                            <w:sz w:val="21"/>
                          </w:rPr>
                          <w:t>昼间 </w:t>
                        </w:r>
                        <w:r>
                          <w:rPr>
                            <w:rFonts w:ascii="Times New Roman" w:eastAsia="Times New Roman"/>
                            <w:sz w:val="21"/>
                          </w:rPr>
                          <w:t>Leq dB</w:t>
                        </w:r>
                        <w:r>
                          <w:rPr>
                            <w:sz w:val="21"/>
                          </w:rPr>
                          <w:t>（</w:t>
                        </w:r>
                        <w:r>
                          <w:rPr>
                            <w:rFonts w:ascii="Times New Roman" w:eastAsia="Times New Roman"/>
                            <w:sz w:val="21"/>
                          </w:rPr>
                          <w:t>A</w:t>
                        </w:r>
                        <w:r>
                          <w:rPr>
                            <w:sz w:val="21"/>
                          </w:rPr>
                          <w:t>）</w:t>
                        </w:r>
                      </w:p>
                    </w:tc>
                    <w:tc>
                      <w:tcPr>
                        <w:tcW w:w="2264" w:type="dxa"/>
                        <w:gridSpan w:val="3"/>
                      </w:tcPr>
                      <w:p>
                        <w:pPr>
                          <w:pStyle w:val="TableParagraph"/>
                          <w:spacing w:line="352" w:lineRule="exact"/>
                          <w:ind w:left="305"/>
                          <w:rPr>
                            <w:sz w:val="21"/>
                          </w:rPr>
                        </w:pPr>
                        <w:r>
                          <w:rPr>
                            <w:sz w:val="21"/>
                          </w:rPr>
                          <w:t>夜间 </w:t>
                        </w:r>
                        <w:r>
                          <w:rPr>
                            <w:rFonts w:ascii="Times New Roman" w:eastAsia="Times New Roman"/>
                            <w:sz w:val="21"/>
                          </w:rPr>
                          <w:t>Leq dB</w:t>
                        </w:r>
                        <w:r>
                          <w:rPr>
                            <w:sz w:val="21"/>
                          </w:rPr>
                          <w:t>（</w:t>
                        </w:r>
                        <w:r>
                          <w:rPr>
                            <w:rFonts w:ascii="Times New Roman" w:eastAsia="Times New Roman"/>
                            <w:sz w:val="21"/>
                          </w:rPr>
                          <w:t>A</w:t>
                        </w:r>
                        <w:r>
                          <w:rPr>
                            <w:sz w:val="21"/>
                          </w:rPr>
                          <w:t>）</w:t>
                        </w:r>
                      </w:p>
                    </w:tc>
                  </w:tr>
                  <w:tr>
                    <w:trPr>
                      <w:trHeight w:val="683" w:hRule="atLeast"/>
                    </w:trPr>
                    <w:tc>
                      <w:tcPr>
                        <w:tcW w:w="881" w:type="dxa"/>
                        <w:vMerge/>
                        <w:tcBorders>
                          <w:top w:val="nil"/>
                        </w:tcBorders>
                      </w:tcPr>
                      <w:p>
                        <w:pPr>
                          <w:rPr>
                            <w:sz w:val="2"/>
                            <w:szCs w:val="2"/>
                          </w:rPr>
                        </w:pPr>
                      </w:p>
                    </w:tc>
                    <w:tc>
                      <w:tcPr>
                        <w:tcW w:w="854" w:type="dxa"/>
                        <w:vMerge/>
                        <w:tcBorders>
                          <w:top w:val="nil"/>
                        </w:tcBorders>
                      </w:tcPr>
                      <w:p>
                        <w:pPr>
                          <w:rPr>
                            <w:sz w:val="2"/>
                            <w:szCs w:val="2"/>
                          </w:rPr>
                        </w:pPr>
                      </w:p>
                    </w:tc>
                    <w:tc>
                      <w:tcPr>
                        <w:tcW w:w="712" w:type="dxa"/>
                      </w:tcPr>
                      <w:p>
                        <w:pPr>
                          <w:pStyle w:val="TableParagraph"/>
                          <w:spacing w:line="360" w:lineRule="exact"/>
                          <w:ind w:left="147"/>
                          <w:rPr>
                            <w:sz w:val="21"/>
                          </w:rPr>
                        </w:pPr>
                        <w:r>
                          <w:rPr>
                            <w:sz w:val="21"/>
                          </w:rPr>
                          <w:t>测量</w:t>
                        </w:r>
                      </w:p>
                      <w:p>
                        <w:pPr>
                          <w:pStyle w:val="TableParagraph"/>
                          <w:spacing w:line="303" w:lineRule="exact"/>
                          <w:ind w:left="147"/>
                          <w:rPr>
                            <w:sz w:val="21"/>
                          </w:rPr>
                        </w:pPr>
                        <w:r>
                          <w:rPr>
                            <w:sz w:val="21"/>
                          </w:rPr>
                          <w:t>结果</w:t>
                        </w:r>
                      </w:p>
                    </w:tc>
                    <w:tc>
                      <w:tcPr>
                        <w:tcW w:w="849" w:type="dxa"/>
                      </w:tcPr>
                      <w:p>
                        <w:pPr>
                          <w:pStyle w:val="TableParagraph"/>
                          <w:spacing w:before="137"/>
                          <w:ind w:left="196" w:right="183"/>
                          <w:jc w:val="center"/>
                          <w:rPr>
                            <w:sz w:val="21"/>
                          </w:rPr>
                        </w:pPr>
                        <w:r>
                          <w:rPr>
                            <w:sz w:val="21"/>
                          </w:rPr>
                          <w:t>标准</w:t>
                        </w:r>
                      </w:p>
                    </w:tc>
                    <w:tc>
                      <w:tcPr>
                        <w:tcW w:w="707" w:type="dxa"/>
                      </w:tcPr>
                      <w:p>
                        <w:pPr>
                          <w:pStyle w:val="TableParagraph"/>
                          <w:spacing w:line="360" w:lineRule="exact"/>
                          <w:ind w:left="146"/>
                          <w:rPr>
                            <w:sz w:val="21"/>
                          </w:rPr>
                        </w:pPr>
                        <w:r>
                          <w:rPr>
                            <w:sz w:val="21"/>
                          </w:rPr>
                          <w:t>达标</w:t>
                        </w:r>
                      </w:p>
                      <w:p>
                        <w:pPr>
                          <w:pStyle w:val="TableParagraph"/>
                          <w:spacing w:line="303" w:lineRule="exact"/>
                          <w:ind w:left="146"/>
                          <w:rPr>
                            <w:sz w:val="21"/>
                          </w:rPr>
                        </w:pPr>
                        <w:r>
                          <w:rPr>
                            <w:sz w:val="21"/>
                          </w:rPr>
                          <w:t>情况</w:t>
                        </w:r>
                      </w:p>
                    </w:tc>
                    <w:tc>
                      <w:tcPr>
                        <w:tcW w:w="709" w:type="dxa"/>
                      </w:tcPr>
                      <w:p>
                        <w:pPr>
                          <w:pStyle w:val="TableParagraph"/>
                          <w:spacing w:line="360" w:lineRule="exact"/>
                          <w:ind w:left="149"/>
                          <w:rPr>
                            <w:sz w:val="21"/>
                          </w:rPr>
                        </w:pPr>
                        <w:r>
                          <w:rPr>
                            <w:sz w:val="21"/>
                          </w:rPr>
                          <w:t>测量</w:t>
                        </w:r>
                      </w:p>
                      <w:p>
                        <w:pPr>
                          <w:pStyle w:val="TableParagraph"/>
                          <w:spacing w:line="303" w:lineRule="exact"/>
                          <w:ind w:left="149"/>
                          <w:rPr>
                            <w:sz w:val="21"/>
                          </w:rPr>
                        </w:pPr>
                        <w:r>
                          <w:rPr>
                            <w:sz w:val="21"/>
                          </w:rPr>
                          <w:t>结果</w:t>
                        </w:r>
                      </w:p>
                    </w:tc>
                    <w:tc>
                      <w:tcPr>
                        <w:tcW w:w="848" w:type="dxa"/>
                        <w:tcBorders>
                          <w:right w:val="single" w:sz="6" w:space="0" w:color="000000"/>
                        </w:tcBorders>
                      </w:tcPr>
                      <w:p>
                        <w:pPr>
                          <w:pStyle w:val="TableParagraph"/>
                          <w:spacing w:before="137"/>
                          <w:ind w:left="199" w:right="176"/>
                          <w:jc w:val="center"/>
                          <w:rPr>
                            <w:sz w:val="21"/>
                          </w:rPr>
                        </w:pPr>
                        <w:r>
                          <w:rPr>
                            <w:sz w:val="21"/>
                          </w:rPr>
                          <w:t>标准</w:t>
                        </w:r>
                      </w:p>
                    </w:tc>
                    <w:tc>
                      <w:tcPr>
                        <w:tcW w:w="707" w:type="dxa"/>
                        <w:tcBorders>
                          <w:left w:val="single" w:sz="6" w:space="0" w:color="000000"/>
                        </w:tcBorders>
                      </w:tcPr>
                      <w:p>
                        <w:pPr>
                          <w:pStyle w:val="TableParagraph"/>
                          <w:spacing w:line="360" w:lineRule="exact"/>
                          <w:ind w:left="148"/>
                          <w:rPr>
                            <w:sz w:val="21"/>
                          </w:rPr>
                        </w:pPr>
                        <w:r>
                          <w:rPr>
                            <w:sz w:val="21"/>
                          </w:rPr>
                          <w:t>达标</w:t>
                        </w:r>
                      </w:p>
                      <w:p>
                        <w:pPr>
                          <w:pStyle w:val="TableParagraph"/>
                          <w:spacing w:line="303" w:lineRule="exact"/>
                          <w:ind w:left="148"/>
                          <w:rPr>
                            <w:sz w:val="21"/>
                          </w:rPr>
                        </w:pPr>
                        <w:r>
                          <w:rPr>
                            <w:sz w:val="21"/>
                          </w:rPr>
                          <w:t>情况</w:t>
                        </w:r>
                      </w:p>
                    </w:tc>
                  </w:tr>
                  <w:tr>
                    <w:trPr>
                      <w:trHeight w:val="685" w:hRule="atLeast"/>
                    </w:trPr>
                    <w:tc>
                      <w:tcPr>
                        <w:tcW w:w="881" w:type="dxa"/>
                        <w:vMerge w:val="restart"/>
                      </w:tcPr>
                      <w:p>
                        <w:pPr>
                          <w:pStyle w:val="TableParagraph"/>
                          <w:rPr>
                            <w:sz w:val="22"/>
                          </w:rPr>
                        </w:pPr>
                      </w:p>
                      <w:p>
                        <w:pPr>
                          <w:pStyle w:val="TableParagraph"/>
                          <w:spacing w:before="11"/>
                          <w:rPr>
                            <w:sz w:val="17"/>
                          </w:rPr>
                        </w:pPr>
                      </w:p>
                      <w:p>
                        <w:pPr>
                          <w:pStyle w:val="TableParagraph"/>
                          <w:spacing w:line="409" w:lineRule="exact"/>
                          <w:ind w:left="80" w:right="68"/>
                          <w:jc w:val="center"/>
                          <w:rPr>
                            <w:sz w:val="21"/>
                          </w:rPr>
                        </w:pPr>
                        <w:r>
                          <w:rPr>
                            <w:rFonts w:ascii="Times New Roman" w:eastAsia="Times New Roman"/>
                            <w:sz w:val="21"/>
                          </w:rPr>
                          <w:t>2019 </w:t>
                        </w:r>
                        <w:r>
                          <w:rPr>
                            <w:sz w:val="21"/>
                          </w:rPr>
                          <w:t>年</w:t>
                        </w:r>
                      </w:p>
                      <w:p>
                        <w:pPr>
                          <w:pStyle w:val="TableParagraph"/>
                          <w:spacing w:line="342" w:lineRule="exact"/>
                          <w:ind w:left="80" w:right="68"/>
                          <w:jc w:val="center"/>
                          <w:rPr>
                            <w:rFonts w:ascii="Times New Roman" w:eastAsia="Times New Roman"/>
                            <w:sz w:val="21"/>
                          </w:rPr>
                        </w:pPr>
                        <w:r>
                          <w:rPr>
                            <w:rFonts w:ascii="Times New Roman" w:eastAsia="Times New Roman"/>
                            <w:sz w:val="21"/>
                          </w:rPr>
                          <w:t>9 </w:t>
                        </w:r>
                        <w:r>
                          <w:rPr>
                            <w:sz w:val="21"/>
                          </w:rPr>
                          <w:t>月 </w:t>
                        </w:r>
                        <w:r>
                          <w:rPr>
                            <w:rFonts w:ascii="Times New Roman" w:eastAsia="Times New Roman"/>
                            <w:sz w:val="21"/>
                          </w:rPr>
                          <w:t>5</w:t>
                        </w:r>
                      </w:p>
                      <w:p>
                        <w:pPr>
                          <w:pStyle w:val="TableParagraph"/>
                          <w:spacing w:line="379" w:lineRule="exact"/>
                          <w:ind w:left="8"/>
                          <w:jc w:val="center"/>
                          <w:rPr>
                            <w:sz w:val="21"/>
                          </w:rPr>
                        </w:pPr>
                        <w:r>
                          <w:rPr>
                            <w:w w:val="100"/>
                            <w:sz w:val="21"/>
                          </w:rPr>
                          <w:t>日</w:t>
                        </w:r>
                      </w:p>
                    </w:tc>
                    <w:tc>
                      <w:tcPr>
                        <w:tcW w:w="854" w:type="dxa"/>
                      </w:tcPr>
                      <w:p>
                        <w:pPr>
                          <w:pStyle w:val="TableParagraph"/>
                          <w:spacing w:line="363" w:lineRule="exact"/>
                          <w:ind w:left="110"/>
                          <w:rPr>
                            <w:sz w:val="21"/>
                          </w:rPr>
                        </w:pPr>
                        <w:r>
                          <w:rPr>
                            <w:sz w:val="21"/>
                          </w:rPr>
                          <w:t>西北侧</w:t>
                        </w:r>
                      </w:p>
                      <w:p>
                        <w:pPr>
                          <w:pStyle w:val="TableParagraph"/>
                          <w:spacing w:line="303" w:lineRule="exact"/>
                          <w:ind w:left="110"/>
                          <w:rPr>
                            <w:sz w:val="21"/>
                          </w:rPr>
                        </w:pPr>
                        <w:r>
                          <w:rPr>
                            <w:sz w:val="21"/>
                          </w:rPr>
                          <w:t>（</w:t>
                        </w:r>
                        <w:r>
                          <w:rPr>
                            <w:rFonts w:ascii="Times New Roman" w:eastAsia="Times New Roman"/>
                            <w:sz w:val="21"/>
                          </w:rPr>
                          <w:t>1#</w:t>
                        </w:r>
                        <w:r>
                          <w:rPr>
                            <w:sz w:val="21"/>
                          </w:rPr>
                          <w:t>）</w:t>
                        </w:r>
                      </w:p>
                    </w:tc>
                    <w:tc>
                      <w:tcPr>
                        <w:tcW w:w="712" w:type="dxa"/>
                      </w:tcPr>
                      <w:p>
                        <w:pPr>
                          <w:pStyle w:val="TableParagraph"/>
                          <w:spacing w:before="19"/>
                          <w:rPr>
                            <w:sz w:val="11"/>
                          </w:rPr>
                        </w:pPr>
                      </w:p>
                      <w:p>
                        <w:pPr>
                          <w:pStyle w:val="TableParagraph"/>
                          <w:ind w:left="154" w:right="140"/>
                          <w:jc w:val="center"/>
                          <w:rPr>
                            <w:rFonts w:ascii="Times New Roman"/>
                            <w:sz w:val="21"/>
                          </w:rPr>
                        </w:pPr>
                        <w:r>
                          <w:rPr>
                            <w:rFonts w:ascii="Times New Roman"/>
                            <w:sz w:val="21"/>
                          </w:rPr>
                          <w:t>52.2</w:t>
                        </w:r>
                      </w:p>
                    </w:tc>
                    <w:tc>
                      <w:tcPr>
                        <w:tcW w:w="849" w:type="dxa"/>
                      </w:tcPr>
                      <w:p>
                        <w:pPr>
                          <w:pStyle w:val="TableParagraph"/>
                          <w:spacing w:before="19"/>
                          <w:rPr>
                            <w:sz w:val="11"/>
                          </w:rPr>
                        </w:pPr>
                      </w:p>
                      <w:p>
                        <w:pPr>
                          <w:pStyle w:val="TableParagraph"/>
                          <w:ind w:left="196" w:right="183"/>
                          <w:jc w:val="center"/>
                          <w:rPr>
                            <w:rFonts w:ascii="Times New Roman"/>
                            <w:sz w:val="21"/>
                          </w:rPr>
                        </w:pPr>
                        <w:r>
                          <w:rPr>
                            <w:rFonts w:ascii="Times New Roman"/>
                            <w:sz w:val="21"/>
                          </w:rPr>
                          <w:t>55</w:t>
                        </w:r>
                      </w:p>
                    </w:tc>
                    <w:tc>
                      <w:tcPr>
                        <w:tcW w:w="707" w:type="dxa"/>
                      </w:tcPr>
                      <w:p>
                        <w:pPr>
                          <w:pStyle w:val="TableParagraph"/>
                          <w:spacing w:before="140"/>
                          <w:ind w:left="127" w:right="109"/>
                          <w:jc w:val="center"/>
                          <w:rPr>
                            <w:sz w:val="21"/>
                          </w:rPr>
                        </w:pPr>
                        <w:r>
                          <w:rPr>
                            <w:sz w:val="21"/>
                          </w:rPr>
                          <w:t>达标</w:t>
                        </w:r>
                      </w:p>
                    </w:tc>
                    <w:tc>
                      <w:tcPr>
                        <w:tcW w:w="709" w:type="dxa"/>
                      </w:tcPr>
                      <w:p>
                        <w:pPr>
                          <w:pStyle w:val="TableParagraph"/>
                          <w:spacing w:before="19"/>
                          <w:rPr>
                            <w:sz w:val="11"/>
                          </w:rPr>
                        </w:pPr>
                      </w:p>
                      <w:p>
                        <w:pPr>
                          <w:pStyle w:val="TableParagraph"/>
                          <w:ind w:right="151"/>
                          <w:jc w:val="right"/>
                          <w:rPr>
                            <w:rFonts w:ascii="Times New Roman"/>
                            <w:sz w:val="21"/>
                          </w:rPr>
                        </w:pPr>
                        <w:r>
                          <w:rPr>
                            <w:rFonts w:ascii="Times New Roman"/>
                            <w:sz w:val="21"/>
                          </w:rPr>
                          <w:t>44.3</w:t>
                        </w:r>
                      </w:p>
                    </w:tc>
                    <w:tc>
                      <w:tcPr>
                        <w:tcW w:w="848" w:type="dxa"/>
                        <w:tcBorders>
                          <w:right w:val="single" w:sz="6" w:space="0" w:color="000000"/>
                        </w:tcBorders>
                      </w:tcPr>
                      <w:p>
                        <w:pPr>
                          <w:pStyle w:val="TableParagraph"/>
                          <w:spacing w:before="19"/>
                          <w:rPr>
                            <w:sz w:val="11"/>
                          </w:rPr>
                        </w:pPr>
                      </w:p>
                      <w:p>
                        <w:pPr>
                          <w:pStyle w:val="TableParagraph"/>
                          <w:ind w:left="199" w:right="176"/>
                          <w:jc w:val="center"/>
                          <w:rPr>
                            <w:rFonts w:ascii="Times New Roman"/>
                            <w:sz w:val="21"/>
                          </w:rPr>
                        </w:pPr>
                        <w:r>
                          <w:rPr>
                            <w:rFonts w:ascii="Times New Roman"/>
                            <w:sz w:val="21"/>
                          </w:rPr>
                          <w:t>45</w:t>
                        </w:r>
                      </w:p>
                    </w:tc>
                    <w:tc>
                      <w:tcPr>
                        <w:tcW w:w="707" w:type="dxa"/>
                        <w:tcBorders>
                          <w:left w:val="single" w:sz="6" w:space="0" w:color="000000"/>
                        </w:tcBorders>
                      </w:tcPr>
                      <w:p>
                        <w:pPr>
                          <w:pStyle w:val="TableParagraph"/>
                          <w:spacing w:before="140"/>
                          <w:ind w:left="129" w:right="105"/>
                          <w:jc w:val="center"/>
                          <w:rPr>
                            <w:sz w:val="21"/>
                          </w:rPr>
                        </w:pPr>
                        <w:r>
                          <w:rPr>
                            <w:sz w:val="21"/>
                          </w:rPr>
                          <w:t>达标</w:t>
                        </w:r>
                      </w:p>
                    </w:tc>
                  </w:tr>
                  <w:tr>
                    <w:trPr>
                      <w:trHeight w:val="683" w:hRule="atLeast"/>
                    </w:trPr>
                    <w:tc>
                      <w:tcPr>
                        <w:tcW w:w="881" w:type="dxa"/>
                        <w:vMerge/>
                        <w:tcBorders>
                          <w:top w:val="nil"/>
                        </w:tcBorders>
                      </w:tcPr>
                      <w:p>
                        <w:pPr>
                          <w:rPr>
                            <w:sz w:val="2"/>
                            <w:szCs w:val="2"/>
                          </w:rPr>
                        </w:pPr>
                      </w:p>
                    </w:tc>
                    <w:tc>
                      <w:tcPr>
                        <w:tcW w:w="854" w:type="dxa"/>
                      </w:tcPr>
                      <w:p>
                        <w:pPr>
                          <w:pStyle w:val="TableParagraph"/>
                          <w:spacing w:line="360" w:lineRule="exact"/>
                          <w:ind w:left="110"/>
                          <w:rPr>
                            <w:sz w:val="21"/>
                          </w:rPr>
                        </w:pPr>
                        <w:r>
                          <w:rPr>
                            <w:sz w:val="21"/>
                          </w:rPr>
                          <w:t>东北侧</w:t>
                        </w:r>
                      </w:p>
                      <w:p>
                        <w:pPr>
                          <w:pStyle w:val="TableParagraph"/>
                          <w:spacing w:line="303" w:lineRule="exact"/>
                          <w:ind w:left="110"/>
                          <w:rPr>
                            <w:sz w:val="21"/>
                          </w:rPr>
                        </w:pPr>
                        <w:r>
                          <w:rPr>
                            <w:sz w:val="21"/>
                          </w:rPr>
                          <w:t>（</w:t>
                        </w:r>
                        <w:r>
                          <w:rPr>
                            <w:rFonts w:ascii="Times New Roman" w:eastAsia="Times New Roman"/>
                            <w:sz w:val="21"/>
                          </w:rPr>
                          <w:t>2#</w:t>
                        </w:r>
                        <w:r>
                          <w:rPr>
                            <w:sz w:val="21"/>
                          </w:rPr>
                          <w:t>）</w:t>
                        </w:r>
                      </w:p>
                    </w:tc>
                    <w:tc>
                      <w:tcPr>
                        <w:tcW w:w="712" w:type="dxa"/>
                      </w:tcPr>
                      <w:p>
                        <w:pPr>
                          <w:pStyle w:val="TableParagraph"/>
                          <w:spacing w:before="16"/>
                          <w:rPr>
                            <w:sz w:val="11"/>
                          </w:rPr>
                        </w:pPr>
                      </w:p>
                      <w:p>
                        <w:pPr>
                          <w:pStyle w:val="TableParagraph"/>
                          <w:spacing w:before="1"/>
                          <w:ind w:left="154" w:right="140"/>
                          <w:jc w:val="center"/>
                          <w:rPr>
                            <w:rFonts w:ascii="Times New Roman"/>
                            <w:sz w:val="21"/>
                          </w:rPr>
                        </w:pPr>
                        <w:r>
                          <w:rPr>
                            <w:rFonts w:ascii="Times New Roman"/>
                            <w:sz w:val="21"/>
                          </w:rPr>
                          <w:t>51.9</w:t>
                        </w:r>
                      </w:p>
                    </w:tc>
                    <w:tc>
                      <w:tcPr>
                        <w:tcW w:w="849" w:type="dxa"/>
                      </w:tcPr>
                      <w:p>
                        <w:pPr>
                          <w:pStyle w:val="TableParagraph"/>
                          <w:spacing w:before="16"/>
                          <w:rPr>
                            <w:sz w:val="11"/>
                          </w:rPr>
                        </w:pPr>
                      </w:p>
                      <w:p>
                        <w:pPr>
                          <w:pStyle w:val="TableParagraph"/>
                          <w:spacing w:before="1"/>
                          <w:ind w:left="196" w:right="183"/>
                          <w:jc w:val="center"/>
                          <w:rPr>
                            <w:rFonts w:ascii="Times New Roman"/>
                            <w:sz w:val="21"/>
                          </w:rPr>
                        </w:pPr>
                        <w:r>
                          <w:rPr>
                            <w:rFonts w:ascii="Times New Roman"/>
                            <w:sz w:val="21"/>
                          </w:rPr>
                          <w:t>55</w:t>
                        </w:r>
                      </w:p>
                    </w:tc>
                    <w:tc>
                      <w:tcPr>
                        <w:tcW w:w="707" w:type="dxa"/>
                      </w:tcPr>
                      <w:p>
                        <w:pPr>
                          <w:pStyle w:val="TableParagraph"/>
                          <w:spacing w:before="137"/>
                          <w:ind w:left="127" w:right="109"/>
                          <w:jc w:val="center"/>
                          <w:rPr>
                            <w:sz w:val="21"/>
                          </w:rPr>
                        </w:pPr>
                        <w:r>
                          <w:rPr>
                            <w:sz w:val="21"/>
                          </w:rPr>
                          <w:t>达标</w:t>
                        </w:r>
                      </w:p>
                    </w:tc>
                    <w:tc>
                      <w:tcPr>
                        <w:tcW w:w="709" w:type="dxa"/>
                      </w:tcPr>
                      <w:p>
                        <w:pPr>
                          <w:pStyle w:val="TableParagraph"/>
                          <w:spacing w:before="16"/>
                          <w:rPr>
                            <w:sz w:val="11"/>
                          </w:rPr>
                        </w:pPr>
                      </w:p>
                      <w:p>
                        <w:pPr>
                          <w:pStyle w:val="TableParagraph"/>
                          <w:spacing w:before="1"/>
                          <w:ind w:right="151"/>
                          <w:jc w:val="right"/>
                          <w:rPr>
                            <w:rFonts w:ascii="Times New Roman"/>
                            <w:sz w:val="21"/>
                          </w:rPr>
                        </w:pPr>
                        <w:r>
                          <w:rPr>
                            <w:rFonts w:ascii="Times New Roman"/>
                            <w:sz w:val="21"/>
                          </w:rPr>
                          <w:t>43.6</w:t>
                        </w:r>
                      </w:p>
                    </w:tc>
                    <w:tc>
                      <w:tcPr>
                        <w:tcW w:w="848" w:type="dxa"/>
                        <w:tcBorders>
                          <w:right w:val="single" w:sz="6" w:space="0" w:color="000000"/>
                        </w:tcBorders>
                      </w:tcPr>
                      <w:p>
                        <w:pPr>
                          <w:pStyle w:val="TableParagraph"/>
                          <w:spacing w:before="16"/>
                          <w:rPr>
                            <w:sz w:val="11"/>
                          </w:rPr>
                        </w:pPr>
                      </w:p>
                      <w:p>
                        <w:pPr>
                          <w:pStyle w:val="TableParagraph"/>
                          <w:spacing w:before="1"/>
                          <w:ind w:left="199" w:right="176"/>
                          <w:jc w:val="center"/>
                          <w:rPr>
                            <w:rFonts w:ascii="Times New Roman"/>
                            <w:sz w:val="21"/>
                          </w:rPr>
                        </w:pPr>
                        <w:r>
                          <w:rPr>
                            <w:rFonts w:ascii="Times New Roman"/>
                            <w:sz w:val="21"/>
                          </w:rPr>
                          <w:t>45</w:t>
                        </w:r>
                      </w:p>
                    </w:tc>
                    <w:tc>
                      <w:tcPr>
                        <w:tcW w:w="707" w:type="dxa"/>
                        <w:tcBorders>
                          <w:left w:val="single" w:sz="6" w:space="0" w:color="000000"/>
                        </w:tcBorders>
                      </w:tcPr>
                      <w:p>
                        <w:pPr>
                          <w:pStyle w:val="TableParagraph"/>
                          <w:spacing w:before="137"/>
                          <w:ind w:left="129" w:right="105"/>
                          <w:jc w:val="center"/>
                          <w:rPr>
                            <w:sz w:val="21"/>
                          </w:rPr>
                        </w:pPr>
                        <w:r>
                          <w:rPr>
                            <w:sz w:val="21"/>
                          </w:rPr>
                          <w:t>达标</w:t>
                        </w:r>
                      </w:p>
                    </w:tc>
                  </w:tr>
                  <w:tr>
                    <w:trPr>
                      <w:trHeight w:val="683" w:hRule="atLeast"/>
                    </w:trPr>
                    <w:tc>
                      <w:tcPr>
                        <w:tcW w:w="881" w:type="dxa"/>
                        <w:vMerge/>
                        <w:tcBorders>
                          <w:top w:val="nil"/>
                        </w:tcBorders>
                      </w:tcPr>
                      <w:p>
                        <w:pPr>
                          <w:rPr>
                            <w:sz w:val="2"/>
                            <w:szCs w:val="2"/>
                          </w:rPr>
                        </w:pPr>
                      </w:p>
                    </w:tc>
                    <w:tc>
                      <w:tcPr>
                        <w:tcW w:w="854" w:type="dxa"/>
                      </w:tcPr>
                      <w:p>
                        <w:pPr>
                          <w:pStyle w:val="TableParagraph"/>
                          <w:spacing w:line="361" w:lineRule="exact"/>
                          <w:ind w:left="110"/>
                          <w:rPr>
                            <w:sz w:val="21"/>
                          </w:rPr>
                        </w:pPr>
                        <w:r>
                          <w:rPr>
                            <w:sz w:val="21"/>
                          </w:rPr>
                          <w:t>东南侧</w:t>
                        </w:r>
                      </w:p>
                      <w:p>
                        <w:pPr>
                          <w:pStyle w:val="TableParagraph"/>
                          <w:spacing w:line="303" w:lineRule="exact"/>
                          <w:ind w:left="110"/>
                          <w:rPr>
                            <w:sz w:val="21"/>
                          </w:rPr>
                        </w:pPr>
                        <w:r>
                          <w:rPr>
                            <w:sz w:val="21"/>
                          </w:rPr>
                          <w:t>（</w:t>
                        </w:r>
                        <w:r>
                          <w:rPr>
                            <w:rFonts w:ascii="Times New Roman" w:eastAsia="Times New Roman"/>
                            <w:sz w:val="21"/>
                          </w:rPr>
                          <w:t>3#</w:t>
                        </w:r>
                        <w:r>
                          <w:rPr>
                            <w:sz w:val="21"/>
                          </w:rPr>
                          <w:t>）</w:t>
                        </w:r>
                      </w:p>
                    </w:tc>
                    <w:tc>
                      <w:tcPr>
                        <w:tcW w:w="712" w:type="dxa"/>
                      </w:tcPr>
                      <w:p>
                        <w:pPr>
                          <w:pStyle w:val="TableParagraph"/>
                          <w:spacing w:before="17"/>
                          <w:rPr>
                            <w:sz w:val="11"/>
                          </w:rPr>
                        </w:pPr>
                      </w:p>
                      <w:p>
                        <w:pPr>
                          <w:pStyle w:val="TableParagraph"/>
                          <w:ind w:left="154" w:right="140"/>
                          <w:jc w:val="center"/>
                          <w:rPr>
                            <w:rFonts w:ascii="Times New Roman"/>
                            <w:sz w:val="21"/>
                          </w:rPr>
                        </w:pPr>
                        <w:r>
                          <w:rPr>
                            <w:rFonts w:ascii="Times New Roman"/>
                            <w:sz w:val="21"/>
                          </w:rPr>
                          <w:t>50.5</w:t>
                        </w:r>
                      </w:p>
                    </w:tc>
                    <w:tc>
                      <w:tcPr>
                        <w:tcW w:w="849" w:type="dxa"/>
                      </w:tcPr>
                      <w:p>
                        <w:pPr>
                          <w:pStyle w:val="TableParagraph"/>
                          <w:spacing w:before="17"/>
                          <w:rPr>
                            <w:sz w:val="11"/>
                          </w:rPr>
                        </w:pPr>
                      </w:p>
                      <w:p>
                        <w:pPr>
                          <w:pStyle w:val="TableParagraph"/>
                          <w:ind w:left="196" w:right="183"/>
                          <w:jc w:val="center"/>
                          <w:rPr>
                            <w:rFonts w:ascii="Times New Roman"/>
                            <w:sz w:val="21"/>
                          </w:rPr>
                        </w:pPr>
                        <w:r>
                          <w:rPr>
                            <w:rFonts w:ascii="Times New Roman"/>
                            <w:sz w:val="21"/>
                          </w:rPr>
                          <w:t>55</w:t>
                        </w:r>
                      </w:p>
                    </w:tc>
                    <w:tc>
                      <w:tcPr>
                        <w:tcW w:w="707" w:type="dxa"/>
                      </w:tcPr>
                      <w:p>
                        <w:pPr>
                          <w:pStyle w:val="TableParagraph"/>
                          <w:spacing w:before="138"/>
                          <w:ind w:left="127" w:right="109"/>
                          <w:jc w:val="center"/>
                          <w:rPr>
                            <w:sz w:val="21"/>
                          </w:rPr>
                        </w:pPr>
                        <w:r>
                          <w:rPr>
                            <w:sz w:val="21"/>
                          </w:rPr>
                          <w:t>达标</w:t>
                        </w:r>
                      </w:p>
                    </w:tc>
                    <w:tc>
                      <w:tcPr>
                        <w:tcW w:w="709" w:type="dxa"/>
                      </w:tcPr>
                      <w:p>
                        <w:pPr>
                          <w:pStyle w:val="TableParagraph"/>
                          <w:spacing w:before="17"/>
                          <w:rPr>
                            <w:sz w:val="11"/>
                          </w:rPr>
                        </w:pPr>
                      </w:p>
                      <w:p>
                        <w:pPr>
                          <w:pStyle w:val="TableParagraph"/>
                          <w:ind w:right="151"/>
                          <w:jc w:val="right"/>
                          <w:rPr>
                            <w:rFonts w:ascii="Times New Roman"/>
                            <w:sz w:val="21"/>
                          </w:rPr>
                        </w:pPr>
                        <w:r>
                          <w:rPr>
                            <w:rFonts w:ascii="Times New Roman"/>
                            <w:sz w:val="21"/>
                          </w:rPr>
                          <w:t>42.5</w:t>
                        </w:r>
                      </w:p>
                    </w:tc>
                    <w:tc>
                      <w:tcPr>
                        <w:tcW w:w="848" w:type="dxa"/>
                        <w:tcBorders>
                          <w:right w:val="single" w:sz="6" w:space="0" w:color="000000"/>
                        </w:tcBorders>
                      </w:tcPr>
                      <w:p>
                        <w:pPr>
                          <w:pStyle w:val="TableParagraph"/>
                          <w:spacing w:before="17"/>
                          <w:rPr>
                            <w:sz w:val="11"/>
                          </w:rPr>
                        </w:pPr>
                      </w:p>
                      <w:p>
                        <w:pPr>
                          <w:pStyle w:val="TableParagraph"/>
                          <w:ind w:left="199" w:right="176"/>
                          <w:jc w:val="center"/>
                          <w:rPr>
                            <w:rFonts w:ascii="Times New Roman"/>
                            <w:sz w:val="21"/>
                          </w:rPr>
                        </w:pPr>
                        <w:r>
                          <w:rPr>
                            <w:rFonts w:ascii="Times New Roman"/>
                            <w:sz w:val="21"/>
                          </w:rPr>
                          <w:t>45</w:t>
                        </w:r>
                      </w:p>
                    </w:tc>
                    <w:tc>
                      <w:tcPr>
                        <w:tcW w:w="707" w:type="dxa"/>
                        <w:tcBorders>
                          <w:left w:val="single" w:sz="6" w:space="0" w:color="000000"/>
                        </w:tcBorders>
                      </w:tcPr>
                      <w:p>
                        <w:pPr>
                          <w:pStyle w:val="TableParagraph"/>
                          <w:spacing w:before="138"/>
                          <w:ind w:left="129" w:right="105"/>
                          <w:jc w:val="center"/>
                          <w:rPr>
                            <w:sz w:val="21"/>
                          </w:rPr>
                        </w:pPr>
                        <w:r>
                          <w:rPr>
                            <w:sz w:val="21"/>
                          </w:rPr>
                          <w:t>达标</w:t>
                        </w:r>
                      </w:p>
                    </w:tc>
                  </w:tr>
                  <w:tr>
                    <w:trPr>
                      <w:trHeight w:val="683" w:hRule="atLeast"/>
                    </w:trPr>
                    <w:tc>
                      <w:tcPr>
                        <w:tcW w:w="881" w:type="dxa"/>
                        <w:vMerge/>
                        <w:tcBorders>
                          <w:top w:val="nil"/>
                        </w:tcBorders>
                      </w:tcPr>
                      <w:p>
                        <w:pPr>
                          <w:rPr>
                            <w:sz w:val="2"/>
                            <w:szCs w:val="2"/>
                          </w:rPr>
                        </w:pPr>
                      </w:p>
                    </w:tc>
                    <w:tc>
                      <w:tcPr>
                        <w:tcW w:w="854" w:type="dxa"/>
                      </w:tcPr>
                      <w:p>
                        <w:pPr>
                          <w:pStyle w:val="TableParagraph"/>
                          <w:spacing w:line="360" w:lineRule="exact"/>
                          <w:ind w:left="110"/>
                          <w:rPr>
                            <w:sz w:val="21"/>
                          </w:rPr>
                        </w:pPr>
                        <w:r>
                          <w:rPr>
                            <w:sz w:val="21"/>
                          </w:rPr>
                          <w:t>西南侧</w:t>
                        </w:r>
                      </w:p>
                      <w:p>
                        <w:pPr>
                          <w:pStyle w:val="TableParagraph"/>
                          <w:spacing w:line="303" w:lineRule="exact"/>
                          <w:ind w:left="110"/>
                          <w:rPr>
                            <w:sz w:val="21"/>
                          </w:rPr>
                        </w:pPr>
                        <w:r>
                          <w:rPr>
                            <w:sz w:val="21"/>
                          </w:rPr>
                          <w:t>（</w:t>
                        </w:r>
                        <w:r>
                          <w:rPr>
                            <w:rFonts w:ascii="Times New Roman" w:eastAsia="Times New Roman"/>
                            <w:sz w:val="21"/>
                          </w:rPr>
                          <w:t>4#</w:t>
                        </w:r>
                        <w:r>
                          <w:rPr>
                            <w:sz w:val="21"/>
                          </w:rPr>
                          <w:t>）</w:t>
                        </w:r>
                      </w:p>
                    </w:tc>
                    <w:tc>
                      <w:tcPr>
                        <w:tcW w:w="712" w:type="dxa"/>
                      </w:tcPr>
                      <w:p>
                        <w:pPr>
                          <w:pStyle w:val="TableParagraph"/>
                          <w:spacing w:before="16"/>
                          <w:rPr>
                            <w:sz w:val="11"/>
                          </w:rPr>
                        </w:pPr>
                      </w:p>
                      <w:p>
                        <w:pPr>
                          <w:pStyle w:val="TableParagraph"/>
                          <w:spacing w:before="1"/>
                          <w:ind w:left="154" w:right="140"/>
                          <w:jc w:val="center"/>
                          <w:rPr>
                            <w:rFonts w:ascii="Times New Roman"/>
                            <w:sz w:val="21"/>
                          </w:rPr>
                        </w:pPr>
                        <w:r>
                          <w:rPr>
                            <w:rFonts w:ascii="Times New Roman"/>
                            <w:sz w:val="21"/>
                          </w:rPr>
                          <w:t>50.8</w:t>
                        </w:r>
                      </w:p>
                    </w:tc>
                    <w:tc>
                      <w:tcPr>
                        <w:tcW w:w="849" w:type="dxa"/>
                      </w:tcPr>
                      <w:p>
                        <w:pPr>
                          <w:pStyle w:val="TableParagraph"/>
                          <w:spacing w:before="16"/>
                          <w:rPr>
                            <w:sz w:val="11"/>
                          </w:rPr>
                        </w:pPr>
                      </w:p>
                      <w:p>
                        <w:pPr>
                          <w:pStyle w:val="TableParagraph"/>
                          <w:spacing w:before="1"/>
                          <w:ind w:left="196" w:right="183"/>
                          <w:jc w:val="center"/>
                          <w:rPr>
                            <w:rFonts w:ascii="Times New Roman"/>
                            <w:sz w:val="21"/>
                          </w:rPr>
                        </w:pPr>
                        <w:r>
                          <w:rPr>
                            <w:rFonts w:ascii="Times New Roman"/>
                            <w:sz w:val="21"/>
                          </w:rPr>
                          <w:t>55</w:t>
                        </w:r>
                      </w:p>
                    </w:tc>
                    <w:tc>
                      <w:tcPr>
                        <w:tcW w:w="707" w:type="dxa"/>
                      </w:tcPr>
                      <w:p>
                        <w:pPr>
                          <w:pStyle w:val="TableParagraph"/>
                          <w:spacing w:before="137"/>
                          <w:ind w:left="127" w:right="109"/>
                          <w:jc w:val="center"/>
                          <w:rPr>
                            <w:sz w:val="21"/>
                          </w:rPr>
                        </w:pPr>
                        <w:r>
                          <w:rPr>
                            <w:sz w:val="21"/>
                          </w:rPr>
                          <w:t>达标</w:t>
                        </w:r>
                      </w:p>
                    </w:tc>
                    <w:tc>
                      <w:tcPr>
                        <w:tcW w:w="709" w:type="dxa"/>
                      </w:tcPr>
                      <w:p>
                        <w:pPr>
                          <w:pStyle w:val="TableParagraph"/>
                          <w:spacing w:before="16"/>
                          <w:rPr>
                            <w:sz w:val="11"/>
                          </w:rPr>
                        </w:pPr>
                      </w:p>
                      <w:p>
                        <w:pPr>
                          <w:pStyle w:val="TableParagraph"/>
                          <w:spacing w:before="1"/>
                          <w:ind w:right="151"/>
                          <w:jc w:val="right"/>
                          <w:rPr>
                            <w:rFonts w:ascii="Times New Roman"/>
                            <w:sz w:val="21"/>
                          </w:rPr>
                        </w:pPr>
                        <w:r>
                          <w:rPr>
                            <w:rFonts w:ascii="Times New Roman"/>
                            <w:sz w:val="21"/>
                          </w:rPr>
                          <w:t>41.8</w:t>
                        </w:r>
                      </w:p>
                    </w:tc>
                    <w:tc>
                      <w:tcPr>
                        <w:tcW w:w="848" w:type="dxa"/>
                        <w:tcBorders>
                          <w:right w:val="single" w:sz="6" w:space="0" w:color="000000"/>
                        </w:tcBorders>
                      </w:tcPr>
                      <w:p>
                        <w:pPr>
                          <w:pStyle w:val="TableParagraph"/>
                          <w:spacing w:before="16"/>
                          <w:rPr>
                            <w:sz w:val="11"/>
                          </w:rPr>
                        </w:pPr>
                      </w:p>
                      <w:p>
                        <w:pPr>
                          <w:pStyle w:val="TableParagraph"/>
                          <w:spacing w:before="1"/>
                          <w:ind w:left="199" w:right="176"/>
                          <w:jc w:val="center"/>
                          <w:rPr>
                            <w:rFonts w:ascii="Times New Roman"/>
                            <w:sz w:val="21"/>
                          </w:rPr>
                        </w:pPr>
                        <w:r>
                          <w:rPr>
                            <w:rFonts w:ascii="Times New Roman"/>
                            <w:sz w:val="21"/>
                          </w:rPr>
                          <w:t>45</w:t>
                        </w:r>
                      </w:p>
                    </w:tc>
                    <w:tc>
                      <w:tcPr>
                        <w:tcW w:w="707" w:type="dxa"/>
                        <w:tcBorders>
                          <w:left w:val="single" w:sz="6" w:space="0" w:color="000000"/>
                        </w:tcBorders>
                      </w:tcPr>
                      <w:p>
                        <w:pPr>
                          <w:pStyle w:val="TableParagraph"/>
                          <w:spacing w:before="137"/>
                          <w:ind w:left="129" w:right="105"/>
                          <w:jc w:val="center"/>
                          <w:rPr>
                            <w:sz w:val="21"/>
                          </w:rPr>
                        </w:pPr>
                        <w:r>
                          <w:rPr>
                            <w:sz w:val="21"/>
                          </w:rPr>
                          <w:t>达标</w:t>
                        </w:r>
                      </w:p>
                    </w:tc>
                  </w:tr>
                  <w:tr>
                    <w:trPr>
                      <w:trHeight w:val="683" w:hRule="atLeast"/>
                    </w:trPr>
                    <w:tc>
                      <w:tcPr>
                        <w:tcW w:w="881" w:type="dxa"/>
                        <w:vMerge w:val="restart"/>
                      </w:tcPr>
                      <w:p>
                        <w:pPr>
                          <w:pStyle w:val="TableParagraph"/>
                          <w:rPr>
                            <w:sz w:val="22"/>
                          </w:rPr>
                        </w:pPr>
                      </w:p>
                      <w:p>
                        <w:pPr>
                          <w:pStyle w:val="TableParagraph"/>
                          <w:spacing w:before="9"/>
                          <w:rPr>
                            <w:sz w:val="17"/>
                          </w:rPr>
                        </w:pPr>
                      </w:p>
                      <w:p>
                        <w:pPr>
                          <w:pStyle w:val="TableParagraph"/>
                          <w:spacing w:line="409" w:lineRule="exact"/>
                          <w:ind w:left="80" w:right="68"/>
                          <w:jc w:val="center"/>
                          <w:rPr>
                            <w:sz w:val="21"/>
                          </w:rPr>
                        </w:pPr>
                        <w:r>
                          <w:rPr>
                            <w:rFonts w:ascii="Times New Roman" w:eastAsia="Times New Roman"/>
                            <w:sz w:val="21"/>
                          </w:rPr>
                          <w:t>2019 </w:t>
                        </w:r>
                        <w:r>
                          <w:rPr>
                            <w:sz w:val="21"/>
                          </w:rPr>
                          <w:t>年</w:t>
                        </w:r>
                      </w:p>
                      <w:p>
                        <w:pPr>
                          <w:pStyle w:val="TableParagraph"/>
                          <w:spacing w:line="342" w:lineRule="exact"/>
                          <w:ind w:left="80" w:right="68"/>
                          <w:jc w:val="center"/>
                          <w:rPr>
                            <w:rFonts w:ascii="Times New Roman" w:eastAsia="Times New Roman"/>
                            <w:sz w:val="21"/>
                          </w:rPr>
                        </w:pPr>
                        <w:r>
                          <w:rPr>
                            <w:rFonts w:ascii="Times New Roman" w:eastAsia="Times New Roman"/>
                            <w:sz w:val="21"/>
                          </w:rPr>
                          <w:t>9 </w:t>
                        </w:r>
                        <w:r>
                          <w:rPr>
                            <w:sz w:val="21"/>
                          </w:rPr>
                          <w:t>月 </w:t>
                        </w:r>
                        <w:r>
                          <w:rPr>
                            <w:rFonts w:ascii="Times New Roman" w:eastAsia="Times New Roman"/>
                            <w:sz w:val="21"/>
                          </w:rPr>
                          <w:t>6</w:t>
                        </w:r>
                      </w:p>
                      <w:p>
                        <w:pPr>
                          <w:pStyle w:val="TableParagraph"/>
                          <w:spacing w:line="379" w:lineRule="exact"/>
                          <w:ind w:left="8"/>
                          <w:jc w:val="center"/>
                          <w:rPr>
                            <w:sz w:val="21"/>
                          </w:rPr>
                        </w:pPr>
                        <w:r>
                          <w:rPr>
                            <w:w w:val="100"/>
                            <w:sz w:val="21"/>
                          </w:rPr>
                          <w:t>日</w:t>
                        </w:r>
                      </w:p>
                    </w:tc>
                    <w:tc>
                      <w:tcPr>
                        <w:tcW w:w="854" w:type="dxa"/>
                      </w:tcPr>
                      <w:p>
                        <w:pPr>
                          <w:pStyle w:val="TableParagraph"/>
                          <w:spacing w:line="360" w:lineRule="exact"/>
                          <w:ind w:left="110"/>
                          <w:rPr>
                            <w:sz w:val="21"/>
                          </w:rPr>
                        </w:pPr>
                        <w:r>
                          <w:rPr>
                            <w:sz w:val="21"/>
                          </w:rPr>
                          <w:t>西北侧</w:t>
                        </w:r>
                      </w:p>
                      <w:p>
                        <w:pPr>
                          <w:pStyle w:val="TableParagraph"/>
                          <w:spacing w:line="303" w:lineRule="exact"/>
                          <w:ind w:left="110"/>
                          <w:rPr>
                            <w:sz w:val="21"/>
                          </w:rPr>
                        </w:pPr>
                        <w:r>
                          <w:rPr>
                            <w:sz w:val="21"/>
                          </w:rPr>
                          <w:t>（</w:t>
                        </w:r>
                        <w:r>
                          <w:rPr>
                            <w:rFonts w:ascii="Times New Roman" w:eastAsia="Times New Roman"/>
                            <w:sz w:val="21"/>
                          </w:rPr>
                          <w:t>1#</w:t>
                        </w:r>
                        <w:r>
                          <w:rPr>
                            <w:sz w:val="21"/>
                          </w:rPr>
                          <w:t>）</w:t>
                        </w:r>
                      </w:p>
                    </w:tc>
                    <w:tc>
                      <w:tcPr>
                        <w:tcW w:w="712" w:type="dxa"/>
                      </w:tcPr>
                      <w:p>
                        <w:pPr>
                          <w:pStyle w:val="TableParagraph"/>
                          <w:spacing w:before="16"/>
                          <w:rPr>
                            <w:sz w:val="11"/>
                          </w:rPr>
                        </w:pPr>
                      </w:p>
                      <w:p>
                        <w:pPr>
                          <w:pStyle w:val="TableParagraph"/>
                          <w:spacing w:before="1"/>
                          <w:ind w:left="154" w:right="140"/>
                          <w:jc w:val="center"/>
                          <w:rPr>
                            <w:rFonts w:ascii="Times New Roman"/>
                            <w:sz w:val="21"/>
                          </w:rPr>
                        </w:pPr>
                        <w:r>
                          <w:rPr>
                            <w:rFonts w:ascii="Times New Roman"/>
                            <w:sz w:val="21"/>
                          </w:rPr>
                          <w:t>53.3</w:t>
                        </w:r>
                      </w:p>
                    </w:tc>
                    <w:tc>
                      <w:tcPr>
                        <w:tcW w:w="849" w:type="dxa"/>
                      </w:tcPr>
                      <w:p>
                        <w:pPr>
                          <w:pStyle w:val="TableParagraph"/>
                          <w:spacing w:before="16"/>
                          <w:rPr>
                            <w:sz w:val="11"/>
                          </w:rPr>
                        </w:pPr>
                      </w:p>
                      <w:p>
                        <w:pPr>
                          <w:pStyle w:val="TableParagraph"/>
                          <w:spacing w:before="1"/>
                          <w:ind w:left="196" w:right="183"/>
                          <w:jc w:val="center"/>
                          <w:rPr>
                            <w:rFonts w:ascii="Times New Roman"/>
                            <w:sz w:val="21"/>
                          </w:rPr>
                        </w:pPr>
                        <w:r>
                          <w:rPr>
                            <w:rFonts w:ascii="Times New Roman"/>
                            <w:sz w:val="21"/>
                          </w:rPr>
                          <w:t>55</w:t>
                        </w:r>
                      </w:p>
                    </w:tc>
                    <w:tc>
                      <w:tcPr>
                        <w:tcW w:w="707" w:type="dxa"/>
                      </w:tcPr>
                      <w:p>
                        <w:pPr>
                          <w:pStyle w:val="TableParagraph"/>
                          <w:spacing w:before="138"/>
                          <w:ind w:left="127" w:right="109"/>
                          <w:jc w:val="center"/>
                          <w:rPr>
                            <w:sz w:val="21"/>
                          </w:rPr>
                        </w:pPr>
                        <w:r>
                          <w:rPr>
                            <w:sz w:val="21"/>
                          </w:rPr>
                          <w:t>达标</w:t>
                        </w:r>
                      </w:p>
                    </w:tc>
                    <w:tc>
                      <w:tcPr>
                        <w:tcW w:w="709" w:type="dxa"/>
                      </w:tcPr>
                      <w:p>
                        <w:pPr>
                          <w:pStyle w:val="TableParagraph"/>
                          <w:spacing w:before="16"/>
                          <w:rPr>
                            <w:sz w:val="11"/>
                          </w:rPr>
                        </w:pPr>
                      </w:p>
                      <w:p>
                        <w:pPr>
                          <w:pStyle w:val="TableParagraph"/>
                          <w:spacing w:before="1"/>
                          <w:ind w:right="151"/>
                          <w:jc w:val="right"/>
                          <w:rPr>
                            <w:rFonts w:ascii="Times New Roman"/>
                            <w:sz w:val="21"/>
                          </w:rPr>
                        </w:pPr>
                        <w:r>
                          <w:rPr>
                            <w:rFonts w:ascii="Times New Roman"/>
                            <w:sz w:val="21"/>
                          </w:rPr>
                          <w:t>44.0</w:t>
                        </w:r>
                      </w:p>
                    </w:tc>
                    <w:tc>
                      <w:tcPr>
                        <w:tcW w:w="848" w:type="dxa"/>
                        <w:tcBorders>
                          <w:right w:val="single" w:sz="6" w:space="0" w:color="000000"/>
                        </w:tcBorders>
                      </w:tcPr>
                      <w:p>
                        <w:pPr>
                          <w:pStyle w:val="TableParagraph"/>
                          <w:spacing w:before="16"/>
                          <w:rPr>
                            <w:sz w:val="11"/>
                          </w:rPr>
                        </w:pPr>
                      </w:p>
                      <w:p>
                        <w:pPr>
                          <w:pStyle w:val="TableParagraph"/>
                          <w:spacing w:before="1"/>
                          <w:ind w:left="199" w:right="176"/>
                          <w:jc w:val="center"/>
                          <w:rPr>
                            <w:rFonts w:ascii="Times New Roman"/>
                            <w:sz w:val="21"/>
                          </w:rPr>
                        </w:pPr>
                        <w:r>
                          <w:rPr>
                            <w:rFonts w:ascii="Times New Roman"/>
                            <w:sz w:val="21"/>
                          </w:rPr>
                          <w:t>45</w:t>
                        </w:r>
                      </w:p>
                    </w:tc>
                    <w:tc>
                      <w:tcPr>
                        <w:tcW w:w="707" w:type="dxa"/>
                        <w:tcBorders>
                          <w:left w:val="single" w:sz="6" w:space="0" w:color="000000"/>
                        </w:tcBorders>
                      </w:tcPr>
                      <w:p>
                        <w:pPr>
                          <w:pStyle w:val="TableParagraph"/>
                          <w:spacing w:before="138"/>
                          <w:ind w:left="129" w:right="105"/>
                          <w:jc w:val="center"/>
                          <w:rPr>
                            <w:sz w:val="21"/>
                          </w:rPr>
                        </w:pPr>
                        <w:r>
                          <w:rPr>
                            <w:sz w:val="21"/>
                          </w:rPr>
                          <w:t>达标</w:t>
                        </w:r>
                      </w:p>
                    </w:tc>
                  </w:tr>
                  <w:tr>
                    <w:trPr>
                      <w:trHeight w:val="683" w:hRule="atLeast"/>
                    </w:trPr>
                    <w:tc>
                      <w:tcPr>
                        <w:tcW w:w="881" w:type="dxa"/>
                        <w:vMerge/>
                        <w:tcBorders>
                          <w:top w:val="nil"/>
                        </w:tcBorders>
                      </w:tcPr>
                      <w:p>
                        <w:pPr>
                          <w:rPr>
                            <w:sz w:val="2"/>
                            <w:szCs w:val="2"/>
                          </w:rPr>
                        </w:pPr>
                      </w:p>
                    </w:tc>
                    <w:tc>
                      <w:tcPr>
                        <w:tcW w:w="854" w:type="dxa"/>
                      </w:tcPr>
                      <w:p>
                        <w:pPr>
                          <w:pStyle w:val="TableParagraph"/>
                          <w:spacing w:line="360" w:lineRule="exact"/>
                          <w:ind w:left="110"/>
                          <w:rPr>
                            <w:sz w:val="21"/>
                          </w:rPr>
                        </w:pPr>
                        <w:r>
                          <w:rPr>
                            <w:sz w:val="21"/>
                          </w:rPr>
                          <w:t>东北侧</w:t>
                        </w:r>
                      </w:p>
                      <w:p>
                        <w:pPr>
                          <w:pStyle w:val="TableParagraph"/>
                          <w:spacing w:line="303" w:lineRule="exact"/>
                          <w:ind w:left="110"/>
                          <w:rPr>
                            <w:sz w:val="21"/>
                          </w:rPr>
                        </w:pPr>
                        <w:r>
                          <w:rPr>
                            <w:sz w:val="21"/>
                          </w:rPr>
                          <w:t>（</w:t>
                        </w:r>
                        <w:r>
                          <w:rPr>
                            <w:rFonts w:ascii="Times New Roman" w:eastAsia="Times New Roman"/>
                            <w:sz w:val="21"/>
                          </w:rPr>
                          <w:t>2#</w:t>
                        </w:r>
                        <w:r>
                          <w:rPr>
                            <w:sz w:val="21"/>
                          </w:rPr>
                          <w:t>）</w:t>
                        </w:r>
                      </w:p>
                    </w:tc>
                    <w:tc>
                      <w:tcPr>
                        <w:tcW w:w="712" w:type="dxa"/>
                      </w:tcPr>
                      <w:p>
                        <w:pPr>
                          <w:pStyle w:val="TableParagraph"/>
                          <w:spacing w:before="16"/>
                          <w:rPr>
                            <w:sz w:val="11"/>
                          </w:rPr>
                        </w:pPr>
                      </w:p>
                      <w:p>
                        <w:pPr>
                          <w:pStyle w:val="TableParagraph"/>
                          <w:spacing w:before="1"/>
                          <w:ind w:left="154" w:right="140"/>
                          <w:jc w:val="center"/>
                          <w:rPr>
                            <w:rFonts w:ascii="Times New Roman"/>
                            <w:sz w:val="21"/>
                          </w:rPr>
                        </w:pPr>
                        <w:r>
                          <w:rPr>
                            <w:rFonts w:ascii="Times New Roman"/>
                            <w:sz w:val="21"/>
                          </w:rPr>
                          <w:t>52.3</w:t>
                        </w:r>
                      </w:p>
                    </w:tc>
                    <w:tc>
                      <w:tcPr>
                        <w:tcW w:w="849" w:type="dxa"/>
                      </w:tcPr>
                      <w:p>
                        <w:pPr>
                          <w:pStyle w:val="TableParagraph"/>
                          <w:spacing w:before="16"/>
                          <w:rPr>
                            <w:sz w:val="11"/>
                          </w:rPr>
                        </w:pPr>
                      </w:p>
                      <w:p>
                        <w:pPr>
                          <w:pStyle w:val="TableParagraph"/>
                          <w:spacing w:before="1"/>
                          <w:ind w:left="196" w:right="183"/>
                          <w:jc w:val="center"/>
                          <w:rPr>
                            <w:rFonts w:ascii="Times New Roman"/>
                            <w:sz w:val="21"/>
                          </w:rPr>
                        </w:pPr>
                        <w:r>
                          <w:rPr>
                            <w:rFonts w:ascii="Times New Roman"/>
                            <w:sz w:val="21"/>
                          </w:rPr>
                          <w:t>55</w:t>
                        </w:r>
                      </w:p>
                    </w:tc>
                    <w:tc>
                      <w:tcPr>
                        <w:tcW w:w="707" w:type="dxa"/>
                      </w:tcPr>
                      <w:p>
                        <w:pPr>
                          <w:pStyle w:val="TableParagraph"/>
                          <w:spacing w:before="138"/>
                          <w:ind w:left="127" w:right="109"/>
                          <w:jc w:val="center"/>
                          <w:rPr>
                            <w:sz w:val="21"/>
                          </w:rPr>
                        </w:pPr>
                        <w:r>
                          <w:rPr>
                            <w:sz w:val="21"/>
                          </w:rPr>
                          <w:t>达标</w:t>
                        </w:r>
                      </w:p>
                    </w:tc>
                    <w:tc>
                      <w:tcPr>
                        <w:tcW w:w="709" w:type="dxa"/>
                      </w:tcPr>
                      <w:p>
                        <w:pPr>
                          <w:pStyle w:val="TableParagraph"/>
                          <w:spacing w:before="16"/>
                          <w:rPr>
                            <w:sz w:val="11"/>
                          </w:rPr>
                        </w:pPr>
                      </w:p>
                      <w:p>
                        <w:pPr>
                          <w:pStyle w:val="TableParagraph"/>
                          <w:spacing w:before="1"/>
                          <w:ind w:right="151"/>
                          <w:jc w:val="right"/>
                          <w:rPr>
                            <w:rFonts w:ascii="Times New Roman"/>
                            <w:sz w:val="21"/>
                          </w:rPr>
                        </w:pPr>
                        <w:r>
                          <w:rPr>
                            <w:rFonts w:ascii="Times New Roman"/>
                            <w:sz w:val="21"/>
                          </w:rPr>
                          <w:t>43.7</w:t>
                        </w:r>
                      </w:p>
                    </w:tc>
                    <w:tc>
                      <w:tcPr>
                        <w:tcW w:w="848" w:type="dxa"/>
                        <w:tcBorders>
                          <w:right w:val="single" w:sz="6" w:space="0" w:color="000000"/>
                        </w:tcBorders>
                      </w:tcPr>
                      <w:p>
                        <w:pPr>
                          <w:pStyle w:val="TableParagraph"/>
                          <w:spacing w:before="16"/>
                          <w:rPr>
                            <w:sz w:val="11"/>
                          </w:rPr>
                        </w:pPr>
                      </w:p>
                      <w:p>
                        <w:pPr>
                          <w:pStyle w:val="TableParagraph"/>
                          <w:spacing w:before="1"/>
                          <w:ind w:left="199" w:right="176"/>
                          <w:jc w:val="center"/>
                          <w:rPr>
                            <w:rFonts w:ascii="Times New Roman"/>
                            <w:sz w:val="21"/>
                          </w:rPr>
                        </w:pPr>
                        <w:r>
                          <w:rPr>
                            <w:rFonts w:ascii="Times New Roman"/>
                            <w:sz w:val="21"/>
                          </w:rPr>
                          <w:t>45</w:t>
                        </w:r>
                      </w:p>
                    </w:tc>
                    <w:tc>
                      <w:tcPr>
                        <w:tcW w:w="707" w:type="dxa"/>
                        <w:tcBorders>
                          <w:left w:val="single" w:sz="6" w:space="0" w:color="000000"/>
                        </w:tcBorders>
                      </w:tcPr>
                      <w:p>
                        <w:pPr>
                          <w:pStyle w:val="TableParagraph"/>
                          <w:spacing w:before="138"/>
                          <w:ind w:left="129" w:right="105"/>
                          <w:jc w:val="center"/>
                          <w:rPr>
                            <w:sz w:val="21"/>
                          </w:rPr>
                        </w:pPr>
                        <w:r>
                          <w:rPr>
                            <w:sz w:val="21"/>
                          </w:rPr>
                          <w:t>达标</w:t>
                        </w:r>
                      </w:p>
                    </w:tc>
                  </w:tr>
                  <w:tr>
                    <w:trPr>
                      <w:trHeight w:val="686" w:hRule="atLeast"/>
                    </w:trPr>
                    <w:tc>
                      <w:tcPr>
                        <w:tcW w:w="881" w:type="dxa"/>
                        <w:vMerge/>
                        <w:tcBorders>
                          <w:top w:val="nil"/>
                        </w:tcBorders>
                      </w:tcPr>
                      <w:p>
                        <w:pPr>
                          <w:rPr>
                            <w:sz w:val="2"/>
                            <w:szCs w:val="2"/>
                          </w:rPr>
                        </w:pPr>
                      </w:p>
                    </w:tc>
                    <w:tc>
                      <w:tcPr>
                        <w:tcW w:w="854" w:type="dxa"/>
                      </w:tcPr>
                      <w:p>
                        <w:pPr>
                          <w:pStyle w:val="TableParagraph"/>
                          <w:spacing w:line="363" w:lineRule="exact"/>
                          <w:ind w:left="110"/>
                          <w:rPr>
                            <w:sz w:val="21"/>
                          </w:rPr>
                        </w:pPr>
                        <w:r>
                          <w:rPr>
                            <w:sz w:val="21"/>
                          </w:rPr>
                          <w:t>东南侧</w:t>
                        </w:r>
                      </w:p>
                      <w:p>
                        <w:pPr>
                          <w:pStyle w:val="TableParagraph"/>
                          <w:spacing w:line="303" w:lineRule="exact"/>
                          <w:ind w:left="110"/>
                          <w:rPr>
                            <w:sz w:val="21"/>
                          </w:rPr>
                        </w:pPr>
                        <w:r>
                          <w:rPr>
                            <w:sz w:val="21"/>
                          </w:rPr>
                          <w:t>（</w:t>
                        </w:r>
                        <w:r>
                          <w:rPr>
                            <w:rFonts w:ascii="Times New Roman" w:eastAsia="Times New Roman"/>
                            <w:sz w:val="21"/>
                          </w:rPr>
                          <w:t>3#</w:t>
                        </w:r>
                        <w:r>
                          <w:rPr>
                            <w:sz w:val="21"/>
                          </w:rPr>
                          <w:t>）</w:t>
                        </w:r>
                      </w:p>
                    </w:tc>
                    <w:tc>
                      <w:tcPr>
                        <w:tcW w:w="712" w:type="dxa"/>
                      </w:tcPr>
                      <w:p>
                        <w:pPr>
                          <w:pStyle w:val="TableParagraph"/>
                          <w:spacing w:before="19"/>
                          <w:rPr>
                            <w:sz w:val="11"/>
                          </w:rPr>
                        </w:pPr>
                      </w:p>
                      <w:p>
                        <w:pPr>
                          <w:pStyle w:val="TableParagraph"/>
                          <w:ind w:left="154" w:right="140"/>
                          <w:jc w:val="center"/>
                          <w:rPr>
                            <w:rFonts w:ascii="Times New Roman"/>
                            <w:sz w:val="21"/>
                          </w:rPr>
                        </w:pPr>
                        <w:r>
                          <w:rPr>
                            <w:rFonts w:ascii="Times New Roman"/>
                            <w:sz w:val="21"/>
                          </w:rPr>
                          <w:t>51.7</w:t>
                        </w:r>
                      </w:p>
                    </w:tc>
                    <w:tc>
                      <w:tcPr>
                        <w:tcW w:w="849" w:type="dxa"/>
                      </w:tcPr>
                      <w:p>
                        <w:pPr>
                          <w:pStyle w:val="TableParagraph"/>
                          <w:spacing w:before="19"/>
                          <w:rPr>
                            <w:sz w:val="11"/>
                          </w:rPr>
                        </w:pPr>
                      </w:p>
                      <w:p>
                        <w:pPr>
                          <w:pStyle w:val="TableParagraph"/>
                          <w:ind w:left="196" w:right="183"/>
                          <w:jc w:val="center"/>
                          <w:rPr>
                            <w:rFonts w:ascii="Times New Roman"/>
                            <w:sz w:val="21"/>
                          </w:rPr>
                        </w:pPr>
                        <w:r>
                          <w:rPr>
                            <w:rFonts w:ascii="Times New Roman"/>
                            <w:sz w:val="21"/>
                          </w:rPr>
                          <w:t>55</w:t>
                        </w:r>
                      </w:p>
                    </w:tc>
                    <w:tc>
                      <w:tcPr>
                        <w:tcW w:w="707" w:type="dxa"/>
                      </w:tcPr>
                      <w:p>
                        <w:pPr>
                          <w:pStyle w:val="TableParagraph"/>
                          <w:spacing w:before="140"/>
                          <w:ind w:left="127" w:right="109"/>
                          <w:jc w:val="center"/>
                          <w:rPr>
                            <w:sz w:val="21"/>
                          </w:rPr>
                        </w:pPr>
                        <w:r>
                          <w:rPr>
                            <w:sz w:val="21"/>
                          </w:rPr>
                          <w:t>达标</w:t>
                        </w:r>
                      </w:p>
                    </w:tc>
                    <w:tc>
                      <w:tcPr>
                        <w:tcW w:w="709" w:type="dxa"/>
                      </w:tcPr>
                      <w:p>
                        <w:pPr>
                          <w:pStyle w:val="TableParagraph"/>
                          <w:spacing w:before="19"/>
                          <w:rPr>
                            <w:sz w:val="11"/>
                          </w:rPr>
                        </w:pPr>
                      </w:p>
                      <w:p>
                        <w:pPr>
                          <w:pStyle w:val="TableParagraph"/>
                          <w:ind w:right="151"/>
                          <w:jc w:val="right"/>
                          <w:rPr>
                            <w:rFonts w:ascii="Times New Roman"/>
                            <w:sz w:val="21"/>
                          </w:rPr>
                        </w:pPr>
                        <w:r>
                          <w:rPr>
                            <w:rFonts w:ascii="Times New Roman"/>
                            <w:sz w:val="21"/>
                          </w:rPr>
                          <w:t>43.1</w:t>
                        </w:r>
                      </w:p>
                    </w:tc>
                    <w:tc>
                      <w:tcPr>
                        <w:tcW w:w="848" w:type="dxa"/>
                        <w:tcBorders>
                          <w:right w:val="single" w:sz="6" w:space="0" w:color="000000"/>
                        </w:tcBorders>
                      </w:tcPr>
                      <w:p>
                        <w:pPr>
                          <w:pStyle w:val="TableParagraph"/>
                          <w:spacing w:before="19"/>
                          <w:rPr>
                            <w:sz w:val="11"/>
                          </w:rPr>
                        </w:pPr>
                      </w:p>
                      <w:p>
                        <w:pPr>
                          <w:pStyle w:val="TableParagraph"/>
                          <w:ind w:left="199" w:right="176"/>
                          <w:jc w:val="center"/>
                          <w:rPr>
                            <w:rFonts w:ascii="Times New Roman"/>
                            <w:sz w:val="21"/>
                          </w:rPr>
                        </w:pPr>
                        <w:r>
                          <w:rPr>
                            <w:rFonts w:ascii="Times New Roman"/>
                            <w:sz w:val="21"/>
                          </w:rPr>
                          <w:t>45</w:t>
                        </w:r>
                      </w:p>
                    </w:tc>
                    <w:tc>
                      <w:tcPr>
                        <w:tcW w:w="707" w:type="dxa"/>
                        <w:tcBorders>
                          <w:left w:val="single" w:sz="6" w:space="0" w:color="000000"/>
                        </w:tcBorders>
                      </w:tcPr>
                      <w:p>
                        <w:pPr>
                          <w:pStyle w:val="TableParagraph"/>
                          <w:spacing w:before="140"/>
                          <w:ind w:left="129" w:right="105"/>
                          <w:jc w:val="center"/>
                          <w:rPr>
                            <w:sz w:val="21"/>
                          </w:rPr>
                        </w:pPr>
                        <w:r>
                          <w:rPr>
                            <w:sz w:val="21"/>
                          </w:rPr>
                          <w:t>达标</w:t>
                        </w:r>
                      </w:p>
                    </w:tc>
                  </w:tr>
                  <w:tr>
                    <w:trPr>
                      <w:trHeight w:val="684" w:hRule="atLeast"/>
                    </w:trPr>
                    <w:tc>
                      <w:tcPr>
                        <w:tcW w:w="881" w:type="dxa"/>
                        <w:vMerge/>
                        <w:tcBorders>
                          <w:top w:val="nil"/>
                        </w:tcBorders>
                      </w:tcPr>
                      <w:p>
                        <w:pPr>
                          <w:rPr>
                            <w:sz w:val="2"/>
                            <w:szCs w:val="2"/>
                          </w:rPr>
                        </w:pPr>
                      </w:p>
                    </w:tc>
                    <w:tc>
                      <w:tcPr>
                        <w:tcW w:w="854" w:type="dxa"/>
                      </w:tcPr>
                      <w:p>
                        <w:pPr>
                          <w:pStyle w:val="TableParagraph"/>
                          <w:spacing w:line="360" w:lineRule="exact"/>
                          <w:ind w:left="110"/>
                          <w:rPr>
                            <w:sz w:val="21"/>
                          </w:rPr>
                        </w:pPr>
                        <w:r>
                          <w:rPr>
                            <w:sz w:val="21"/>
                          </w:rPr>
                          <w:t>西南侧</w:t>
                        </w:r>
                      </w:p>
                      <w:p>
                        <w:pPr>
                          <w:pStyle w:val="TableParagraph"/>
                          <w:spacing w:line="304" w:lineRule="exact"/>
                          <w:ind w:left="110"/>
                          <w:rPr>
                            <w:sz w:val="21"/>
                          </w:rPr>
                        </w:pPr>
                        <w:r>
                          <w:rPr>
                            <w:sz w:val="21"/>
                          </w:rPr>
                          <w:t>（</w:t>
                        </w:r>
                        <w:r>
                          <w:rPr>
                            <w:rFonts w:ascii="Times New Roman" w:eastAsia="Times New Roman"/>
                            <w:sz w:val="21"/>
                          </w:rPr>
                          <w:t>4#</w:t>
                        </w:r>
                        <w:r>
                          <w:rPr>
                            <w:sz w:val="21"/>
                          </w:rPr>
                          <w:t>）</w:t>
                        </w:r>
                      </w:p>
                    </w:tc>
                    <w:tc>
                      <w:tcPr>
                        <w:tcW w:w="712" w:type="dxa"/>
                      </w:tcPr>
                      <w:p>
                        <w:pPr>
                          <w:pStyle w:val="TableParagraph"/>
                          <w:spacing w:before="16"/>
                          <w:rPr>
                            <w:sz w:val="11"/>
                          </w:rPr>
                        </w:pPr>
                      </w:p>
                      <w:p>
                        <w:pPr>
                          <w:pStyle w:val="TableParagraph"/>
                          <w:spacing w:before="1"/>
                          <w:ind w:left="154" w:right="140"/>
                          <w:jc w:val="center"/>
                          <w:rPr>
                            <w:rFonts w:ascii="Times New Roman"/>
                            <w:sz w:val="21"/>
                          </w:rPr>
                        </w:pPr>
                        <w:r>
                          <w:rPr>
                            <w:rFonts w:ascii="Times New Roman"/>
                            <w:sz w:val="21"/>
                          </w:rPr>
                          <w:t>50.6</w:t>
                        </w:r>
                      </w:p>
                    </w:tc>
                    <w:tc>
                      <w:tcPr>
                        <w:tcW w:w="849" w:type="dxa"/>
                      </w:tcPr>
                      <w:p>
                        <w:pPr>
                          <w:pStyle w:val="TableParagraph"/>
                          <w:spacing w:before="16"/>
                          <w:rPr>
                            <w:sz w:val="11"/>
                          </w:rPr>
                        </w:pPr>
                      </w:p>
                      <w:p>
                        <w:pPr>
                          <w:pStyle w:val="TableParagraph"/>
                          <w:spacing w:before="1"/>
                          <w:ind w:left="196" w:right="183"/>
                          <w:jc w:val="center"/>
                          <w:rPr>
                            <w:rFonts w:ascii="Times New Roman"/>
                            <w:sz w:val="21"/>
                          </w:rPr>
                        </w:pPr>
                        <w:r>
                          <w:rPr>
                            <w:rFonts w:ascii="Times New Roman"/>
                            <w:sz w:val="21"/>
                          </w:rPr>
                          <w:t>55</w:t>
                        </w:r>
                      </w:p>
                    </w:tc>
                    <w:tc>
                      <w:tcPr>
                        <w:tcW w:w="707" w:type="dxa"/>
                      </w:tcPr>
                      <w:p>
                        <w:pPr>
                          <w:pStyle w:val="TableParagraph"/>
                          <w:spacing w:before="137"/>
                          <w:ind w:left="127" w:right="109"/>
                          <w:jc w:val="center"/>
                          <w:rPr>
                            <w:sz w:val="21"/>
                          </w:rPr>
                        </w:pPr>
                        <w:r>
                          <w:rPr>
                            <w:sz w:val="21"/>
                          </w:rPr>
                          <w:t>达标</w:t>
                        </w:r>
                      </w:p>
                    </w:tc>
                    <w:tc>
                      <w:tcPr>
                        <w:tcW w:w="709" w:type="dxa"/>
                      </w:tcPr>
                      <w:p>
                        <w:pPr>
                          <w:pStyle w:val="TableParagraph"/>
                          <w:spacing w:before="16"/>
                          <w:rPr>
                            <w:sz w:val="11"/>
                          </w:rPr>
                        </w:pPr>
                      </w:p>
                      <w:p>
                        <w:pPr>
                          <w:pStyle w:val="TableParagraph"/>
                          <w:spacing w:before="1"/>
                          <w:ind w:right="151"/>
                          <w:jc w:val="right"/>
                          <w:rPr>
                            <w:rFonts w:ascii="Times New Roman"/>
                            <w:sz w:val="21"/>
                          </w:rPr>
                        </w:pPr>
                        <w:r>
                          <w:rPr>
                            <w:rFonts w:ascii="Times New Roman"/>
                            <w:sz w:val="21"/>
                          </w:rPr>
                          <w:t>41.9</w:t>
                        </w:r>
                      </w:p>
                    </w:tc>
                    <w:tc>
                      <w:tcPr>
                        <w:tcW w:w="848" w:type="dxa"/>
                        <w:tcBorders>
                          <w:right w:val="single" w:sz="6" w:space="0" w:color="000000"/>
                        </w:tcBorders>
                      </w:tcPr>
                      <w:p>
                        <w:pPr>
                          <w:pStyle w:val="TableParagraph"/>
                          <w:spacing w:before="16"/>
                          <w:rPr>
                            <w:sz w:val="11"/>
                          </w:rPr>
                        </w:pPr>
                      </w:p>
                      <w:p>
                        <w:pPr>
                          <w:pStyle w:val="TableParagraph"/>
                          <w:spacing w:before="1"/>
                          <w:ind w:left="199" w:right="176"/>
                          <w:jc w:val="center"/>
                          <w:rPr>
                            <w:rFonts w:ascii="Times New Roman"/>
                            <w:sz w:val="21"/>
                          </w:rPr>
                        </w:pPr>
                        <w:r>
                          <w:rPr>
                            <w:rFonts w:ascii="Times New Roman"/>
                            <w:sz w:val="21"/>
                          </w:rPr>
                          <w:t>45</w:t>
                        </w:r>
                      </w:p>
                    </w:tc>
                    <w:tc>
                      <w:tcPr>
                        <w:tcW w:w="707" w:type="dxa"/>
                        <w:tcBorders>
                          <w:left w:val="single" w:sz="6" w:space="0" w:color="000000"/>
                        </w:tcBorders>
                      </w:tcPr>
                      <w:p>
                        <w:pPr>
                          <w:pStyle w:val="TableParagraph"/>
                          <w:spacing w:before="137"/>
                          <w:ind w:left="129" w:right="105"/>
                          <w:jc w:val="center"/>
                          <w:rPr>
                            <w:sz w:val="21"/>
                          </w:rPr>
                        </w:pPr>
                        <w:r>
                          <w:rPr>
                            <w:sz w:val="21"/>
                          </w:rPr>
                          <w:t>达标</w:t>
                        </w:r>
                      </w:p>
                    </w:tc>
                  </w:tr>
                  <w:tr>
                    <w:trPr>
                      <w:trHeight w:val="683" w:hRule="atLeast"/>
                    </w:trPr>
                    <w:tc>
                      <w:tcPr>
                        <w:tcW w:w="881" w:type="dxa"/>
                      </w:tcPr>
                      <w:p>
                        <w:pPr>
                          <w:pStyle w:val="TableParagraph"/>
                          <w:rPr>
                            <w:rFonts w:ascii="Times New Roman"/>
                            <w:sz w:val="20"/>
                          </w:rPr>
                        </w:pPr>
                      </w:p>
                    </w:tc>
                    <w:tc>
                      <w:tcPr>
                        <w:tcW w:w="5386" w:type="dxa"/>
                        <w:gridSpan w:val="7"/>
                      </w:tcPr>
                      <w:p>
                        <w:pPr>
                          <w:pStyle w:val="TableParagraph"/>
                          <w:spacing w:line="360" w:lineRule="exact"/>
                          <w:ind w:left="159" w:right="142"/>
                          <w:jc w:val="center"/>
                          <w:rPr>
                            <w:rFonts w:ascii="Times New Roman" w:eastAsia="Times New Roman"/>
                            <w:sz w:val="21"/>
                          </w:rPr>
                        </w:pPr>
                        <w:r>
                          <w:rPr>
                            <w:sz w:val="21"/>
                          </w:rPr>
                          <w:t>执行标准：场界噪声执行《声环境质量标准》（</w:t>
                        </w:r>
                        <w:r>
                          <w:rPr>
                            <w:rFonts w:ascii="Times New Roman" w:eastAsia="Times New Roman"/>
                            <w:sz w:val="21"/>
                          </w:rPr>
                          <w:t>GB</w:t>
                        </w:r>
                      </w:p>
                      <w:p>
                        <w:pPr>
                          <w:pStyle w:val="TableParagraph"/>
                          <w:spacing w:line="303" w:lineRule="exact"/>
                          <w:ind w:left="162" w:right="142"/>
                          <w:jc w:val="center"/>
                          <w:rPr>
                            <w:sz w:val="21"/>
                          </w:rPr>
                        </w:pPr>
                        <w:r>
                          <w:rPr>
                            <w:rFonts w:ascii="Times New Roman" w:hAnsi="Times New Roman" w:eastAsia="Times New Roman"/>
                            <w:sz w:val="21"/>
                          </w:rPr>
                          <w:t>3096-2008</w:t>
                        </w:r>
                        <w:r>
                          <w:rPr>
                            <w:sz w:val="21"/>
                          </w:rPr>
                          <w:t>）</w:t>
                        </w:r>
                        <w:r>
                          <w:rPr>
                            <w:rFonts w:ascii="Times New Roman" w:hAnsi="Times New Roman" w:eastAsia="Times New Roman"/>
                            <w:sz w:val="21"/>
                          </w:rPr>
                          <w:t>1 </w:t>
                        </w:r>
                        <w:r>
                          <w:rPr>
                            <w:sz w:val="21"/>
                          </w:rPr>
                          <w:t>类标准（昼间</w:t>
                        </w:r>
                        <w:r>
                          <w:rPr>
                            <w:rFonts w:ascii="Times New Roman" w:hAnsi="Times New Roman" w:eastAsia="Times New Roman"/>
                            <w:sz w:val="21"/>
                          </w:rPr>
                          <w:t>≤55dBA</w:t>
                        </w:r>
                        <w:r>
                          <w:rPr>
                            <w:sz w:val="21"/>
                          </w:rPr>
                          <w:t>，夜间</w:t>
                        </w:r>
                        <w:r>
                          <w:rPr>
                            <w:rFonts w:ascii="Times New Roman" w:hAnsi="Times New Roman" w:eastAsia="Times New Roman"/>
                            <w:sz w:val="21"/>
                          </w:rPr>
                          <w:t>≤45dBA</w:t>
                        </w:r>
                        <w:r>
                          <w:rPr>
                            <w:sz w:val="21"/>
                          </w:rPr>
                          <w:t>）。</w:t>
                        </w:r>
                      </w:p>
                    </w:tc>
                  </w:tr>
                </w:tbl>
                <w:p>
                  <w:pPr>
                    <w:pStyle w:val="BodyText"/>
                  </w:pPr>
                </w:p>
              </w:txbxContent>
            </v:textbox>
            <w10:wrap type="none"/>
          </v:shape>
        </w:pict>
      </w:r>
    </w:p>
    <w:tbl>
      <w:tblPr>
        <w:tblW w:w="0" w:type="auto"/>
        <w:jc w:val="left"/>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4"/>
        <w:gridCol w:w="1133"/>
        <w:gridCol w:w="6239"/>
      </w:tblGrid>
      <w:tr>
        <w:trPr>
          <w:trHeight w:val="1691" w:hRule="atLeast"/>
        </w:trPr>
        <w:tc>
          <w:tcPr>
            <w:tcW w:w="934" w:type="dxa"/>
          </w:tcPr>
          <w:p>
            <w:pPr>
              <w:pStyle w:val="TableParagraph"/>
              <w:rPr>
                <w:rFonts w:ascii="Times New Roman"/>
                <w:sz w:val="20"/>
              </w:rPr>
            </w:pPr>
          </w:p>
        </w:tc>
        <w:tc>
          <w:tcPr>
            <w:tcW w:w="1133" w:type="dxa"/>
          </w:tcPr>
          <w:p>
            <w:pPr>
              <w:pStyle w:val="TableParagraph"/>
              <w:rPr>
                <w:sz w:val="20"/>
              </w:rPr>
            </w:pPr>
          </w:p>
          <w:p>
            <w:pPr>
              <w:pStyle w:val="TableParagraph"/>
              <w:spacing w:before="6"/>
              <w:rPr>
                <w:sz w:val="10"/>
              </w:rPr>
            </w:pPr>
          </w:p>
          <w:p>
            <w:pPr>
              <w:pStyle w:val="TableParagraph"/>
              <w:ind w:left="145"/>
              <w:rPr>
                <w:sz w:val="21"/>
              </w:rPr>
            </w:pPr>
            <w:r>
              <w:rPr>
                <w:sz w:val="21"/>
              </w:rPr>
              <w:t>社会影响</w:t>
            </w:r>
          </w:p>
        </w:tc>
        <w:tc>
          <w:tcPr>
            <w:tcW w:w="6239" w:type="dxa"/>
          </w:tcPr>
          <w:p>
            <w:pPr>
              <w:pStyle w:val="TableParagraph"/>
              <w:rPr>
                <w:rFonts w:ascii="Times New Roman"/>
                <w:sz w:val="20"/>
              </w:rPr>
            </w:pPr>
          </w:p>
        </w:tc>
      </w:tr>
    </w:tbl>
    <w:p>
      <w:pPr>
        <w:pStyle w:val="Heading1"/>
        <w:numPr>
          <w:ilvl w:val="0"/>
          <w:numId w:val="2"/>
        </w:numPr>
        <w:tabs>
          <w:tab w:pos="917" w:val="left" w:leader="none"/>
          <w:tab w:pos="918" w:val="left" w:leader="none"/>
        </w:tabs>
        <w:spacing w:line="630" w:lineRule="exact" w:before="0" w:after="0"/>
        <w:ind w:left="918" w:right="0" w:hanging="420"/>
        <w:jc w:val="left"/>
        <w:rPr>
          <w:rFonts w:ascii="Noto Sans CJK JP Regular" w:eastAsia="Noto Sans CJK JP Regular" w:hint="eastAsia"/>
        </w:rPr>
      </w:pPr>
      <w:bookmarkStart w:name="_TOC_250003" w:id="8"/>
      <w:bookmarkEnd w:id="8"/>
      <w:r>
        <w:rPr>
          <w:rFonts w:ascii="Noto Sans CJK JP Regular" w:eastAsia="Noto Sans CJK JP Regular" w:hint="eastAsia"/>
        </w:rPr>
        <w:t>环境质量及污染源监测</w:t>
      </w:r>
    </w:p>
    <w:tbl>
      <w:tblPr>
        <w:tblW w:w="0" w:type="auto"/>
        <w:jc w:val="left"/>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1200"/>
        <w:gridCol w:w="1390"/>
        <w:gridCol w:w="5139"/>
      </w:tblGrid>
      <w:tr>
        <w:trPr>
          <w:trHeight w:val="683" w:hRule="atLeast"/>
        </w:trPr>
        <w:tc>
          <w:tcPr>
            <w:tcW w:w="631" w:type="dxa"/>
          </w:tcPr>
          <w:p>
            <w:pPr>
              <w:pStyle w:val="TableParagraph"/>
              <w:spacing w:line="355" w:lineRule="exact"/>
              <w:ind w:left="208"/>
              <w:rPr>
                <w:sz w:val="21"/>
              </w:rPr>
            </w:pPr>
            <w:r>
              <w:rPr>
                <w:w w:val="100"/>
                <w:sz w:val="21"/>
              </w:rPr>
              <w:t>项</w:t>
            </w:r>
          </w:p>
          <w:p>
            <w:pPr>
              <w:pStyle w:val="TableParagraph"/>
              <w:spacing w:line="309" w:lineRule="exact"/>
              <w:ind w:left="208"/>
              <w:rPr>
                <w:sz w:val="21"/>
              </w:rPr>
            </w:pPr>
            <w:r>
              <w:rPr>
                <w:w w:val="100"/>
                <w:sz w:val="21"/>
              </w:rPr>
              <w:t>目</w:t>
            </w:r>
          </w:p>
        </w:tc>
        <w:tc>
          <w:tcPr>
            <w:tcW w:w="2590" w:type="dxa"/>
            <w:gridSpan w:val="2"/>
          </w:tcPr>
          <w:p>
            <w:pPr>
              <w:pStyle w:val="TableParagraph"/>
              <w:spacing w:before="132"/>
              <w:ind w:left="345"/>
              <w:rPr>
                <w:sz w:val="21"/>
              </w:rPr>
            </w:pPr>
            <w:r>
              <w:rPr>
                <w:sz w:val="21"/>
              </w:rPr>
              <w:t>现场调查或监测说明</w:t>
            </w:r>
          </w:p>
        </w:tc>
        <w:tc>
          <w:tcPr>
            <w:tcW w:w="5139" w:type="dxa"/>
          </w:tcPr>
          <w:p>
            <w:pPr>
              <w:pStyle w:val="TableParagraph"/>
              <w:spacing w:before="132"/>
              <w:ind w:left="1602" w:right="1597"/>
              <w:jc w:val="center"/>
              <w:rPr>
                <w:sz w:val="21"/>
              </w:rPr>
            </w:pPr>
            <w:r>
              <w:rPr>
                <w:sz w:val="21"/>
              </w:rPr>
              <w:t>调查或监测结果分析</w:t>
            </w:r>
          </w:p>
        </w:tc>
      </w:tr>
      <w:tr>
        <w:trPr>
          <w:trHeight w:val="683" w:hRule="atLeast"/>
        </w:trPr>
        <w:tc>
          <w:tcPr>
            <w:tcW w:w="631" w:type="dxa"/>
          </w:tcPr>
          <w:p>
            <w:pPr>
              <w:pStyle w:val="TableParagraph"/>
              <w:spacing w:line="355" w:lineRule="exact"/>
              <w:ind w:left="208"/>
              <w:rPr>
                <w:sz w:val="21"/>
              </w:rPr>
            </w:pPr>
            <w:r>
              <w:rPr>
                <w:w w:val="100"/>
                <w:sz w:val="21"/>
              </w:rPr>
              <w:t>生</w:t>
            </w:r>
          </w:p>
          <w:p>
            <w:pPr>
              <w:pStyle w:val="TableParagraph"/>
              <w:spacing w:line="309" w:lineRule="exact"/>
              <w:ind w:left="208"/>
              <w:rPr>
                <w:sz w:val="21"/>
              </w:rPr>
            </w:pPr>
            <w:r>
              <w:rPr>
                <w:w w:val="100"/>
                <w:sz w:val="21"/>
              </w:rPr>
              <w:t>态</w:t>
            </w:r>
          </w:p>
        </w:tc>
        <w:tc>
          <w:tcPr>
            <w:tcW w:w="2590" w:type="dxa"/>
            <w:gridSpan w:val="2"/>
          </w:tcPr>
          <w:p>
            <w:pPr>
              <w:pStyle w:val="TableParagraph"/>
              <w:spacing w:before="11"/>
              <w:rPr>
                <w:sz w:val="11"/>
              </w:rPr>
            </w:pPr>
          </w:p>
          <w:p>
            <w:pPr>
              <w:pStyle w:val="TableParagraph"/>
              <w:ind w:left="3"/>
              <w:jc w:val="center"/>
              <w:rPr>
                <w:rFonts w:ascii="Times New Roman"/>
                <w:sz w:val="21"/>
              </w:rPr>
            </w:pPr>
            <w:r>
              <w:rPr>
                <w:rFonts w:ascii="Times New Roman"/>
                <w:w w:val="100"/>
                <w:sz w:val="21"/>
              </w:rPr>
              <w:t>/</w:t>
            </w:r>
          </w:p>
        </w:tc>
        <w:tc>
          <w:tcPr>
            <w:tcW w:w="5139" w:type="dxa"/>
          </w:tcPr>
          <w:p>
            <w:pPr>
              <w:pStyle w:val="TableParagraph"/>
              <w:spacing w:before="11"/>
              <w:rPr>
                <w:sz w:val="11"/>
              </w:rPr>
            </w:pPr>
          </w:p>
          <w:p>
            <w:pPr>
              <w:pStyle w:val="TableParagraph"/>
              <w:ind w:left="4"/>
              <w:jc w:val="center"/>
              <w:rPr>
                <w:rFonts w:ascii="Times New Roman"/>
                <w:sz w:val="21"/>
              </w:rPr>
            </w:pPr>
            <w:r>
              <w:rPr>
                <w:rFonts w:ascii="Times New Roman"/>
                <w:w w:val="100"/>
                <w:sz w:val="21"/>
              </w:rPr>
              <w:t>/</w:t>
            </w:r>
          </w:p>
        </w:tc>
      </w:tr>
      <w:tr>
        <w:trPr>
          <w:trHeight w:val="684" w:hRule="atLeast"/>
        </w:trPr>
        <w:tc>
          <w:tcPr>
            <w:tcW w:w="631" w:type="dxa"/>
          </w:tcPr>
          <w:p>
            <w:pPr>
              <w:pStyle w:val="TableParagraph"/>
              <w:spacing w:before="132"/>
              <w:ind w:left="7"/>
              <w:jc w:val="center"/>
              <w:rPr>
                <w:sz w:val="21"/>
              </w:rPr>
            </w:pPr>
            <w:r>
              <w:rPr>
                <w:w w:val="100"/>
                <w:sz w:val="21"/>
              </w:rPr>
              <w:t>水</w:t>
            </w:r>
          </w:p>
        </w:tc>
        <w:tc>
          <w:tcPr>
            <w:tcW w:w="7729" w:type="dxa"/>
            <w:gridSpan w:val="3"/>
          </w:tcPr>
          <w:p>
            <w:pPr>
              <w:pStyle w:val="TableParagraph"/>
              <w:spacing w:line="355" w:lineRule="exact"/>
              <w:ind w:left="105"/>
              <w:rPr>
                <w:sz w:val="21"/>
              </w:rPr>
            </w:pPr>
            <w:r>
              <w:rPr>
                <w:sz w:val="21"/>
              </w:rPr>
              <w:t>本项目污水经化粪池预处理达到《污水综合排放标准》（</w:t>
            </w:r>
            <w:r>
              <w:rPr>
                <w:rFonts w:ascii="Times New Roman" w:eastAsia="Times New Roman"/>
                <w:sz w:val="21"/>
              </w:rPr>
              <w:t>GB8978-1996</w:t>
            </w:r>
            <w:r>
              <w:rPr>
                <w:sz w:val="21"/>
              </w:rPr>
              <w:t>）三级标准</w:t>
            </w:r>
          </w:p>
          <w:p>
            <w:pPr>
              <w:pStyle w:val="TableParagraph"/>
              <w:spacing w:line="309" w:lineRule="exact"/>
              <w:ind w:left="105"/>
              <w:rPr>
                <w:sz w:val="21"/>
              </w:rPr>
            </w:pPr>
            <w:r>
              <w:rPr>
                <w:sz w:val="21"/>
              </w:rPr>
              <w:t>后纳入市政污水管网，本项目目前无人员入住，无废水，故可以考虑不予监测。</w:t>
            </w:r>
          </w:p>
        </w:tc>
      </w:tr>
      <w:tr>
        <w:trPr>
          <w:trHeight w:val="374" w:hRule="atLeast"/>
        </w:trPr>
        <w:tc>
          <w:tcPr>
            <w:tcW w:w="631" w:type="dxa"/>
          </w:tcPr>
          <w:p>
            <w:pPr>
              <w:pStyle w:val="TableParagraph"/>
              <w:spacing w:line="354" w:lineRule="exact"/>
              <w:ind w:left="7"/>
              <w:jc w:val="center"/>
              <w:rPr>
                <w:sz w:val="21"/>
              </w:rPr>
            </w:pPr>
            <w:r>
              <w:rPr>
                <w:w w:val="100"/>
                <w:sz w:val="21"/>
              </w:rPr>
              <w:t>气</w:t>
            </w:r>
          </w:p>
        </w:tc>
        <w:tc>
          <w:tcPr>
            <w:tcW w:w="7729" w:type="dxa"/>
            <w:gridSpan w:val="3"/>
          </w:tcPr>
          <w:p>
            <w:pPr>
              <w:pStyle w:val="TableParagraph"/>
              <w:spacing w:line="354" w:lineRule="exact"/>
              <w:ind w:left="105"/>
              <w:rPr>
                <w:sz w:val="21"/>
              </w:rPr>
            </w:pPr>
            <w:r>
              <w:rPr>
                <w:sz w:val="21"/>
              </w:rPr>
              <w:t>本项目目前无人员入住，无废气，故可以考虑不予监测。</w:t>
            </w:r>
          </w:p>
        </w:tc>
      </w:tr>
      <w:tr>
        <w:trPr>
          <w:trHeight w:val="910" w:hRule="atLeast"/>
        </w:trPr>
        <w:tc>
          <w:tcPr>
            <w:tcW w:w="631" w:type="dxa"/>
            <w:tcBorders>
              <w:bottom w:val="nil"/>
            </w:tcBorders>
          </w:tcPr>
          <w:p>
            <w:pPr>
              <w:pStyle w:val="TableParagraph"/>
              <w:rPr>
                <w:rFonts w:ascii="Times New Roman"/>
                <w:sz w:val="20"/>
              </w:rPr>
            </w:pPr>
          </w:p>
        </w:tc>
        <w:tc>
          <w:tcPr>
            <w:tcW w:w="1200" w:type="dxa"/>
            <w:tcBorders>
              <w:bottom w:val="nil"/>
            </w:tcBorders>
          </w:tcPr>
          <w:p>
            <w:pPr>
              <w:pStyle w:val="TableParagraph"/>
              <w:rPr>
                <w:rFonts w:ascii="Times New Roman"/>
                <w:sz w:val="20"/>
              </w:rPr>
            </w:pPr>
          </w:p>
        </w:tc>
        <w:tc>
          <w:tcPr>
            <w:tcW w:w="6529" w:type="dxa"/>
            <w:gridSpan w:val="2"/>
            <w:tcBorders>
              <w:bottom w:val="nil"/>
            </w:tcBorders>
          </w:tcPr>
          <w:p>
            <w:pPr>
              <w:pStyle w:val="TableParagraph"/>
              <w:spacing w:before="77"/>
              <w:ind w:left="1128"/>
              <w:rPr>
                <w:sz w:val="21"/>
              </w:rPr>
            </w:pPr>
            <w:r>
              <w:rPr>
                <w:sz w:val="21"/>
              </w:rPr>
              <w:t>表 </w:t>
            </w:r>
            <w:r>
              <w:rPr>
                <w:rFonts w:ascii="Arial" w:eastAsia="Arial"/>
                <w:b/>
                <w:sz w:val="21"/>
              </w:rPr>
              <w:t>8-1 </w:t>
            </w:r>
            <w:r>
              <w:rPr>
                <w:sz w:val="21"/>
              </w:rPr>
              <w:t>场界四侧噪声监测结果（单位：</w:t>
            </w:r>
            <w:r>
              <w:rPr>
                <w:rFonts w:ascii="Arial" w:eastAsia="Arial"/>
                <w:b/>
                <w:sz w:val="21"/>
              </w:rPr>
              <w:t>dBA</w:t>
            </w:r>
            <w:r>
              <w:rPr>
                <w:sz w:val="21"/>
              </w:rPr>
              <w:t>）</w:t>
            </w:r>
          </w:p>
        </w:tc>
      </w:tr>
      <w:tr>
        <w:trPr>
          <w:trHeight w:val="734" w:hRule="atLeast"/>
        </w:trPr>
        <w:tc>
          <w:tcPr>
            <w:tcW w:w="631" w:type="dxa"/>
            <w:tcBorders>
              <w:top w:val="nil"/>
              <w:bottom w:val="nil"/>
            </w:tcBorders>
          </w:tcPr>
          <w:p>
            <w:pPr>
              <w:pStyle w:val="TableParagraph"/>
              <w:rPr>
                <w:rFonts w:ascii="Times New Roman"/>
                <w:sz w:val="20"/>
              </w:rPr>
            </w:pPr>
          </w:p>
        </w:tc>
        <w:tc>
          <w:tcPr>
            <w:tcW w:w="1200" w:type="dxa"/>
            <w:tcBorders>
              <w:top w:val="nil"/>
              <w:bottom w:val="nil"/>
            </w:tcBorders>
          </w:tcPr>
          <w:p>
            <w:pPr>
              <w:pStyle w:val="TableParagraph"/>
              <w:spacing w:before="19"/>
              <w:rPr>
                <w:sz w:val="15"/>
              </w:rPr>
            </w:pPr>
          </w:p>
          <w:p>
            <w:pPr>
              <w:pStyle w:val="TableParagraph"/>
              <w:spacing w:line="376" w:lineRule="exact"/>
              <w:ind w:left="87" w:right="81"/>
              <w:jc w:val="center"/>
              <w:rPr>
                <w:sz w:val="21"/>
              </w:rPr>
            </w:pPr>
            <w:r>
              <w:rPr>
                <w:sz w:val="21"/>
              </w:rPr>
              <w:t>本 次 委 托</w:t>
            </w:r>
          </w:p>
        </w:tc>
        <w:tc>
          <w:tcPr>
            <w:tcW w:w="6529" w:type="dxa"/>
            <w:gridSpan w:val="2"/>
            <w:tcBorders>
              <w:top w:val="nil"/>
              <w:bottom w:val="nil"/>
            </w:tcBorders>
          </w:tcPr>
          <w:p>
            <w:pPr>
              <w:pStyle w:val="TableParagraph"/>
              <w:rPr>
                <w:rFonts w:ascii="Times New Roman"/>
                <w:sz w:val="20"/>
              </w:rPr>
            </w:pPr>
          </w:p>
        </w:tc>
      </w:tr>
      <w:tr>
        <w:trPr>
          <w:trHeight w:val="312" w:hRule="atLeast"/>
        </w:trPr>
        <w:tc>
          <w:tcPr>
            <w:tcW w:w="631" w:type="dxa"/>
            <w:tcBorders>
              <w:top w:val="nil"/>
              <w:bottom w:val="nil"/>
            </w:tcBorders>
          </w:tcPr>
          <w:p>
            <w:pPr>
              <w:pStyle w:val="TableParagraph"/>
              <w:rPr>
                <w:rFonts w:ascii="Times New Roman"/>
                <w:sz w:val="20"/>
              </w:rPr>
            </w:pPr>
          </w:p>
        </w:tc>
        <w:tc>
          <w:tcPr>
            <w:tcW w:w="1200" w:type="dxa"/>
            <w:tcBorders>
              <w:top w:val="nil"/>
              <w:bottom w:val="nil"/>
            </w:tcBorders>
          </w:tcPr>
          <w:p>
            <w:pPr>
              <w:pStyle w:val="TableParagraph"/>
              <w:spacing w:line="292" w:lineRule="exact"/>
              <w:ind w:left="87" w:right="81"/>
              <w:jc w:val="center"/>
              <w:rPr>
                <w:sz w:val="21"/>
              </w:rPr>
            </w:pPr>
            <w:r>
              <w:rPr>
                <w:sz w:val="21"/>
              </w:rPr>
              <w:t>浙 江 人 欣</w:t>
            </w:r>
          </w:p>
        </w:tc>
        <w:tc>
          <w:tcPr>
            <w:tcW w:w="6529" w:type="dxa"/>
            <w:gridSpan w:val="2"/>
            <w:tcBorders>
              <w:top w:val="nil"/>
              <w:bottom w:val="nil"/>
            </w:tcBorders>
          </w:tcPr>
          <w:p>
            <w:pPr>
              <w:pStyle w:val="TableParagraph"/>
              <w:rPr>
                <w:rFonts w:ascii="Times New Roman"/>
                <w:sz w:val="20"/>
              </w:rPr>
            </w:pPr>
          </w:p>
        </w:tc>
      </w:tr>
      <w:tr>
        <w:trPr>
          <w:trHeight w:val="312" w:hRule="atLeast"/>
        </w:trPr>
        <w:tc>
          <w:tcPr>
            <w:tcW w:w="631" w:type="dxa"/>
            <w:tcBorders>
              <w:top w:val="nil"/>
              <w:bottom w:val="nil"/>
            </w:tcBorders>
          </w:tcPr>
          <w:p>
            <w:pPr>
              <w:pStyle w:val="TableParagraph"/>
              <w:rPr>
                <w:rFonts w:ascii="Times New Roman"/>
                <w:sz w:val="20"/>
              </w:rPr>
            </w:pPr>
          </w:p>
        </w:tc>
        <w:tc>
          <w:tcPr>
            <w:tcW w:w="1200" w:type="dxa"/>
            <w:tcBorders>
              <w:top w:val="nil"/>
              <w:bottom w:val="nil"/>
            </w:tcBorders>
          </w:tcPr>
          <w:p>
            <w:pPr>
              <w:pStyle w:val="TableParagraph"/>
              <w:spacing w:line="292" w:lineRule="exact"/>
              <w:ind w:left="87" w:right="81"/>
              <w:jc w:val="center"/>
              <w:rPr>
                <w:sz w:val="21"/>
              </w:rPr>
            </w:pPr>
            <w:r>
              <w:rPr>
                <w:sz w:val="21"/>
              </w:rPr>
              <w:t>检 测 研 究</w:t>
            </w:r>
          </w:p>
        </w:tc>
        <w:tc>
          <w:tcPr>
            <w:tcW w:w="6529" w:type="dxa"/>
            <w:gridSpan w:val="2"/>
            <w:tcBorders>
              <w:top w:val="nil"/>
              <w:bottom w:val="nil"/>
            </w:tcBorders>
          </w:tcPr>
          <w:p>
            <w:pPr>
              <w:pStyle w:val="TableParagraph"/>
              <w:rPr>
                <w:rFonts w:ascii="Times New Roman"/>
                <w:sz w:val="20"/>
              </w:rPr>
            </w:pPr>
          </w:p>
        </w:tc>
      </w:tr>
      <w:tr>
        <w:trPr>
          <w:trHeight w:val="312" w:hRule="atLeast"/>
        </w:trPr>
        <w:tc>
          <w:tcPr>
            <w:tcW w:w="631" w:type="dxa"/>
            <w:tcBorders>
              <w:top w:val="nil"/>
              <w:bottom w:val="nil"/>
            </w:tcBorders>
          </w:tcPr>
          <w:p>
            <w:pPr>
              <w:pStyle w:val="TableParagraph"/>
              <w:rPr>
                <w:rFonts w:ascii="Times New Roman"/>
                <w:sz w:val="20"/>
              </w:rPr>
            </w:pPr>
          </w:p>
        </w:tc>
        <w:tc>
          <w:tcPr>
            <w:tcW w:w="1200" w:type="dxa"/>
            <w:tcBorders>
              <w:top w:val="nil"/>
              <w:bottom w:val="nil"/>
            </w:tcBorders>
          </w:tcPr>
          <w:p>
            <w:pPr>
              <w:pStyle w:val="TableParagraph"/>
              <w:spacing w:line="292" w:lineRule="exact"/>
              <w:ind w:left="87" w:right="81"/>
              <w:jc w:val="center"/>
              <w:rPr>
                <w:sz w:val="21"/>
              </w:rPr>
            </w:pPr>
            <w:r>
              <w:rPr>
                <w:sz w:val="21"/>
              </w:rPr>
              <w:t>院 股 份 有</w:t>
            </w:r>
          </w:p>
        </w:tc>
        <w:tc>
          <w:tcPr>
            <w:tcW w:w="6529" w:type="dxa"/>
            <w:gridSpan w:val="2"/>
            <w:tcBorders>
              <w:top w:val="nil"/>
              <w:bottom w:val="nil"/>
            </w:tcBorders>
          </w:tcPr>
          <w:p>
            <w:pPr>
              <w:pStyle w:val="TableParagraph"/>
              <w:rPr>
                <w:rFonts w:ascii="Times New Roman"/>
                <w:sz w:val="20"/>
              </w:rPr>
            </w:pPr>
          </w:p>
        </w:tc>
      </w:tr>
      <w:tr>
        <w:trPr>
          <w:trHeight w:val="312" w:hRule="atLeast"/>
        </w:trPr>
        <w:tc>
          <w:tcPr>
            <w:tcW w:w="631" w:type="dxa"/>
            <w:tcBorders>
              <w:top w:val="nil"/>
              <w:bottom w:val="nil"/>
            </w:tcBorders>
          </w:tcPr>
          <w:p>
            <w:pPr>
              <w:pStyle w:val="TableParagraph"/>
              <w:rPr>
                <w:rFonts w:ascii="Times New Roman"/>
                <w:sz w:val="20"/>
              </w:rPr>
            </w:pPr>
          </w:p>
        </w:tc>
        <w:tc>
          <w:tcPr>
            <w:tcW w:w="1200" w:type="dxa"/>
            <w:tcBorders>
              <w:top w:val="nil"/>
              <w:bottom w:val="nil"/>
            </w:tcBorders>
          </w:tcPr>
          <w:p>
            <w:pPr>
              <w:pStyle w:val="TableParagraph"/>
              <w:spacing w:line="292" w:lineRule="exact"/>
              <w:ind w:left="87" w:right="81"/>
              <w:jc w:val="center"/>
              <w:rPr>
                <w:sz w:val="21"/>
              </w:rPr>
            </w:pPr>
            <w:r>
              <w:rPr>
                <w:sz w:val="21"/>
              </w:rPr>
              <w:t>限 公 司 对</w:t>
            </w:r>
          </w:p>
        </w:tc>
        <w:tc>
          <w:tcPr>
            <w:tcW w:w="6529" w:type="dxa"/>
            <w:gridSpan w:val="2"/>
            <w:tcBorders>
              <w:top w:val="nil"/>
              <w:bottom w:val="nil"/>
            </w:tcBorders>
          </w:tcPr>
          <w:p>
            <w:pPr>
              <w:pStyle w:val="TableParagraph"/>
              <w:rPr>
                <w:rFonts w:ascii="Times New Roman"/>
                <w:sz w:val="20"/>
              </w:rPr>
            </w:pPr>
          </w:p>
        </w:tc>
      </w:tr>
      <w:tr>
        <w:trPr>
          <w:trHeight w:val="312" w:hRule="atLeast"/>
        </w:trPr>
        <w:tc>
          <w:tcPr>
            <w:tcW w:w="631" w:type="dxa"/>
            <w:tcBorders>
              <w:top w:val="nil"/>
              <w:bottom w:val="nil"/>
            </w:tcBorders>
          </w:tcPr>
          <w:p>
            <w:pPr>
              <w:pStyle w:val="TableParagraph"/>
              <w:rPr>
                <w:rFonts w:ascii="Times New Roman"/>
                <w:sz w:val="20"/>
              </w:rPr>
            </w:pPr>
          </w:p>
        </w:tc>
        <w:tc>
          <w:tcPr>
            <w:tcW w:w="1200" w:type="dxa"/>
            <w:tcBorders>
              <w:top w:val="nil"/>
              <w:bottom w:val="nil"/>
            </w:tcBorders>
          </w:tcPr>
          <w:p>
            <w:pPr>
              <w:pStyle w:val="TableParagraph"/>
              <w:spacing w:line="292" w:lineRule="exact"/>
              <w:ind w:left="87" w:right="81"/>
              <w:jc w:val="center"/>
              <w:rPr>
                <w:sz w:val="21"/>
              </w:rPr>
            </w:pPr>
            <w:r>
              <w:rPr>
                <w:sz w:val="21"/>
              </w:rPr>
              <w:t>项 目 进 行</w:t>
            </w:r>
          </w:p>
        </w:tc>
        <w:tc>
          <w:tcPr>
            <w:tcW w:w="6529" w:type="dxa"/>
            <w:gridSpan w:val="2"/>
            <w:tcBorders>
              <w:top w:val="nil"/>
              <w:bottom w:val="nil"/>
            </w:tcBorders>
          </w:tcPr>
          <w:p>
            <w:pPr>
              <w:pStyle w:val="TableParagraph"/>
              <w:rPr>
                <w:rFonts w:ascii="Times New Roman"/>
                <w:sz w:val="20"/>
              </w:rPr>
            </w:pPr>
          </w:p>
        </w:tc>
      </w:tr>
      <w:tr>
        <w:trPr>
          <w:trHeight w:val="312" w:hRule="atLeast"/>
        </w:trPr>
        <w:tc>
          <w:tcPr>
            <w:tcW w:w="631" w:type="dxa"/>
            <w:tcBorders>
              <w:top w:val="nil"/>
              <w:bottom w:val="nil"/>
            </w:tcBorders>
          </w:tcPr>
          <w:p>
            <w:pPr>
              <w:pStyle w:val="TableParagraph"/>
              <w:rPr>
                <w:rFonts w:ascii="Times New Roman"/>
                <w:sz w:val="20"/>
              </w:rPr>
            </w:pPr>
          </w:p>
        </w:tc>
        <w:tc>
          <w:tcPr>
            <w:tcW w:w="1200" w:type="dxa"/>
            <w:tcBorders>
              <w:top w:val="nil"/>
              <w:bottom w:val="nil"/>
            </w:tcBorders>
          </w:tcPr>
          <w:p>
            <w:pPr>
              <w:pStyle w:val="TableParagraph"/>
              <w:spacing w:line="292" w:lineRule="exact"/>
              <w:ind w:left="87" w:right="81"/>
              <w:jc w:val="center"/>
              <w:rPr>
                <w:sz w:val="21"/>
              </w:rPr>
            </w:pPr>
            <w:r>
              <w:rPr>
                <w:sz w:val="21"/>
              </w:rPr>
              <w:t>噪 声 验 收</w:t>
            </w:r>
          </w:p>
        </w:tc>
        <w:tc>
          <w:tcPr>
            <w:tcW w:w="6529" w:type="dxa"/>
            <w:gridSpan w:val="2"/>
            <w:tcBorders>
              <w:top w:val="nil"/>
              <w:bottom w:val="nil"/>
            </w:tcBorders>
          </w:tcPr>
          <w:p>
            <w:pPr>
              <w:pStyle w:val="TableParagraph"/>
              <w:rPr>
                <w:rFonts w:ascii="Times New Roman"/>
                <w:sz w:val="20"/>
              </w:rPr>
            </w:pPr>
          </w:p>
        </w:tc>
      </w:tr>
      <w:tr>
        <w:trPr>
          <w:trHeight w:val="4480" w:hRule="atLeast"/>
        </w:trPr>
        <w:tc>
          <w:tcPr>
            <w:tcW w:w="631" w:type="dxa"/>
            <w:tcBorders>
              <w:top w:val="nil"/>
              <w:bottom w:val="nil"/>
            </w:tcBorders>
          </w:tcPr>
          <w:p>
            <w:pPr>
              <w:pStyle w:val="TableParagraph"/>
              <w:rPr>
                <w:sz w:val="20"/>
              </w:rPr>
            </w:pPr>
          </w:p>
          <w:p>
            <w:pPr>
              <w:pStyle w:val="TableParagraph"/>
              <w:spacing w:before="11"/>
              <w:rPr>
                <w:sz w:val="21"/>
              </w:rPr>
            </w:pPr>
          </w:p>
          <w:p>
            <w:pPr>
              <w:pStyle w:val="TableParagraph"/>
              <w:ind w:left="7"/>
              <w:jc w:val="center"/>
              <w:rPr>
                <w:sz w:val="21"/>
              </w:rPr>
            </w:pPr>
            <w:r>
              <w:rPr>
                <w:w w:val="100"/>
                <w:sz w:val="21"/>
              </w:rPr>
              <w:t>声</w:t>
            </w:r>
          </w:p>
        </w:tc>
        <w:tc>
          <w:tcPr>
            <w:tcW w:w="1200" w:type="dxa"/>
            <w:tcBorders>
              <w:top w:val="nil"/>
              <w:bottom w:val="nil"/>
            </w:tcBorders>
          </w:tcPr>
          <w:p>
            <w:pPr>
              <w:pStyle w:val="TableParagraph"/>
              <w:spacing w:line="168" w:lineRule="auto" w:before="8"/>
              <w:ind w:left="105" w:right="84"/>
              <w:rPr>
                <w:sz w:val="21"/>
              </w:rPr>
            </w:pPr>
            <w:r>
              <w:rPr>
                <w:sz w:val="21"/>
              </w:rPr>
              <w:t>监 测 。    </w:t>
            </w:r>
            <w:r>
              <w:rPr>
                <w:rFonts w:ascii="Times New Roman" w:eastAsia="Times New Roman"/>
                <w:spacing w:val="9"/>
                <w:sz w:val="21"/>
              </w:rPr>
              <w:t>1</w:t>
            </w:r>
            <w:r>
              <w:rPr>
                <w:spacing w:val="5"/>
                <w:sz w:val="21"/>
              </w:rPr>
              <w:t>、监测布点 ：     </w:t>
            </w:r>
            <w:r>
              <w:rPr>
                <w:rFonts w:ascii="Times New Roman" w:eastAsia="Times New Roman"/>
                <w:spacing w:val="9"/>
                <w:sz w:val="21"/>
              </w:rPr>
              <w:t>1</w:t>
            </w:r>
            <w:r>
              <w:rPr>
                <w:spacing w:val="9"/>
                <w:sz w:val="21"/>
              </w:rPr>
              <w:t>）</w:t>
            </w:r>
            <w:r>
              <w:rPr>
                <w:spacing w:val="4"/>
                <w:sz w:val="21"/>
              </w:rPr>
              <w:t>项目四</w:t>
            </w:r>
            <w:r>
              <w:rPr>
                <w:spacing w:val="2"/>
                <w:sz w:val="21"/>
              </w:rPr>
              <w:t>侧 场 界 各设 </w:t>
            </w:r>
            <w:r>
              <w:rPr>
                <w:rFonts w:ascii="Times New Roman" w:eastAsia="Times New Roman"/>
                <w:spacing w:val="2"/>
                <w:sz w:val="21"/>
              </w:rPr>
              <w:t>1</w:t>
            </w:r>
            <w:r>
              <w:rPr>
                <w:rFonts w:ascii="Times New Roman" w:eastAsia="Times New Roman"/>
                <w:spacing w:val="-15"/>
                <w:sz w:val="21"/>
              </w:rPr>
              <w:t> </w:t>
            </w:r>
            <w:r>
              <w:rPr>
                <w:spacing w:val="12"/>
                <w:sz w:val="21"/>
              </w:rPr>
              <w:t>个 监</w:t>
            </w:r>
            <w:r>
              <w:rPr>
                <w:sz w:val="21"/>
              </w:rPr>
              <w:t>测点。</w:t>
            </w:r>
          </w:p>
          <w:p>
            <w:pPr>
              <w:pStyle w:val="TableParagraph"/>
              <w:spacing w:line="168" w:lineRule="auto" w:before="3"/>
              <w:ind w:left="105" w:right="28"/>
              <w:jc w:val="both"/>
              <w:rPr>
                <w:sz w:val="21"/>
              </w:rPr>
            </w:pPr>
            <w:r>
              <w:rPr>
                <w:rFonts w:ascii="Times New Roman" w:eastAsia="Times New Roman"/>
                <w:spacing w:val="9"/>
                <w:sz w:val="21"/>
              </w:rPr>
              <w:t>2</w:t>
            </w:r>
            <w:r>
              <w:rPr>
                <w:spacing w:val="5"/>
                <w:sz w:val="21"/>
              </w:rPr>
              <w:t>、监测项目 ：</w:t>
            </w:r>
            <w:r>
              <w:rPr>
                <w:rFonts w:ascii="Times New Roman" w:eastAsia="Times New Roman"/>
                <w:spacing w:val="5"/>
                <w:sz w:val="21"/>
              </w:rPr>
              <w:t>LAeq </w:t>
            </w:r>
            <w:r>
              <w:rPr>
                <w:sz w:val="21"/>
              </w:rPr>
              <w:t>监测频次： </w:t>
            </w:r>
            <w:r>
              <w:rPr>
                <w:spacing w:val="2"/>
                <w:sz w:val="21"/>
              </w:rPr>
              <w:t>监测 </w:t>
            </w:r>
            <w:r>
              <w:rPr>
                <w:rFonts w:ascii="Times New Roman" w:eastAsia="Times New Roman"/>
                <w:sz w:val="21"/>
              </w:rPr>
              <w:t>2 </w:t>
            </w:r>
            <w:r>
              <w:rPr>
                <w:sz w:val="21"/>
              </w:rPr>
              <w:t>天， </w:t>
            </w:r>
            <w:r>
              <w:rPr>
                <w:spacing w:val="-15"/>
                <w:sz w:val="21"/>
              </w:rPr>
              <w:t>每天昼、夜各 监 测 </w:t>
            </w:r>
            <w:r>
              <w:rPr>
                <w:rFonts w:ascii="Times New Roman" w:eastAsia="Times New Roman"/>
                <w:spacing w:val="-15"/>
                <w:sz w:val="21"/>
              </w:rPr>
              <w:t>1 </w:t>
            </w:r>
            <w:r>
              <w:rPr>
                <w:spacing w:val="-15"/>
                <w:sz w:val="21"/>
              </w:rPr>
              <w:t>次。</w:t>
            </w:r>
          </w:p>
        </w:tc>
        <w:tc>
          <w:tcPr>
            <w:tcW w:w="6529" w:type="dxa"/>
            <w:gridSpan w:val="2"/>
            <w:tcBorders>
              <w:top w:val="nil"/>
              <w:bottom w:val="nil"/>
            </w:tcBorders>
          </w:tcPr>
          <w:p>
            <w:pPr>
              <w:pStyle w:val="TableParagraph"/>
              <w:rPr>
                <w:rFonts w:ascii="Times New Roman"/>
                <w:sz w:val="20"/>
              </w:rPr>
            </w:pPr>
          </w:p>
        </w:tc>
      </w:tr>
      <w:tr>
        <w:trPr>
          <w:trHeight w:val="1216" w:hRule="atLeast"/>
        </w:trPr>
        <w:tc>
          <w:tcPr>
            <w:tcW w:w="631" w:type="dxa"/>
            <w:tcBorders>
              <w:top w:val="nil"/>
            </w:tcBorders>
          </w:tcPr>
          <w:p>
            <w:pPr>
              <w:pStyle w:val="TableParagraph"/>
              <w:rPr>
                <w:rFonts w:ascii="Times New Roman"/>
                <w:sz w:val="20"/>
              </w:rPr>
            </w:pPr>
          </w:p>
        </w:tc>
        <w:tc>
          <w:tcPr>
            <w:tcW w:w="1200" w:type="dxa"/>
            <w:tcBorders>
              <w:top w:val="nil"/>
            </w:tcBorders>
          </w:tcPr>
          <w:p>
            <w:pPr>
              <w:pStyle w:val="TableParagraph"/>
              <w:rPr>
                <w:rFonts w:ascii="Times New Roman"/>
                <w:sz w:val="20"/>
              </w:rPr>
            </w:pPr>
          </w:p>
        </w:tc>
        <w:tc>
          <w:tcPr>
            <w:tcW w:w="6529" w:type="dxa"/>
            <w:gridSpan w:val="2"/>
            <w:tcBorders>
              <w:top w:val="nil"/>
            </w:tcBorders>
          </w:tcPr>
          <w:p>
            <w:pPr>
              <w:pStyle w:val="TableParagraph"/>
              <w:spacing w:line="168" w:lineRule="auto" w:before="130"/>
              <w:ind w:left="2148" w:right="96" w:hanging="2043"/>
              <w:rPr>
                <w:sz w:val="21"/>
              </w:rPr>
            </w:pPr>
            <w:r>
              <w:rPr>
                <w:spacing w:val="-12"/>
                <w:sz w:val="21"/>
              </w:rPr>
              <w:t>监测结果表明，项目所在地场界噪声能够达到《声环境质量标准</w:t>
            </w:r>
            <w:r>
              <w:rPr>
                <w:spacing w:val="-168"/>
                <w:sz w:val="21"/>
              </w:rPr>
              <w:t>》</w:t>
            </w:r>
            <w:r>
              <w:rPr>
                <w:spacing w:val="-3"/>
                <w:sz w:val="21"/>
              </w:rPr>
              <w:t>（</w:t>
            </w:r>
            <w:r>
              <w:rPr>
                <w:rFonts w:ascii="Arial" w:eastAsia="Arial"/>
                <w:spacing w:val="-3"/>
                <w:sz w:val="21"/>
              </w:rPr>
              <w:t>GB </w:t>
            </w:r>
            <w:r>
              <w:rPr>
                <w:rFonts w:ascii="Arial" w:eastAsia="Arial"/>
                <w:sz w:val="21"/>
              </w:rPr>
              <w:t>3096-2008</w:t>
            </w:r>
            <w:r>
              <w:rPr>
                <w:sz w:val="21"/>
              </w:rPr>
              <w:t>）</w:t>
            </w:r>
            <w:r>
              <w:rPr>
                <w:rFonts w:ascii="Arial" w:eastAsia="Arial"/>
                <w:sz w:val="21"/>
              </w:rPr>
              <w:t>1 </w:t>
            </w:r>
            <w:r>
              <w:rPr>
                <w:spacing w:val="-2"/>
                <w:sz w:val="21"/>
              </w:rPr>
              <w:t>类标准。</w:t>
            </w:r>
          </w:p>
        </w:tc>
      </w:tr>
    </w:tbl>
    <w:p>
      <w:pPr>
        <w:spacing w:after="0" w:line="168" w:lineRule="auto"/>
        <w:rPr>
          <w:sz w:val="21"/>
        </w:rPr>
        <w:sectPr>
          <w:pgSz w:w="11910" w:h="17580"/>
          <w:pgMar w:header="877" w:footer="1146" w:top="1380" w:bottom="1340" w:left="1300" w:right="800"/>
        </w:sectPr>
      </w:pPr>
    </w:p>
    <w:p>
      <w:pPr>
        <w:pStyle w:val="Heading1"/>
        <w:numPr>
          <w:ilvl w:val="0"/>
          <w:numId w:val="2"/>
        </w:numPr>
        <w:tabs>
          <w:tab w:pos="917" w:val="left" w:leader="none"/>
          <w:tab w:pos="918" w:val="left" w:leader="none"/>
        </w:tabs>
        <w:spacing w:line="678" w:lineRule="exact" w:before="0" w:after="0"/>
        <w:ind w:left="918" w:right="0" w:hanging="420"/>
        <w:jc w:val="left"/>
        <w:rPr>
          <w:rFonts w:ascii="Noto Sans CJK JP Regular" w:eastAsia="Noto Sans CJK JP Regular" w:hint="eastAsia"/>
        </w:rPr>
      </w:pPr>
      <w:bookmarkStart w:name="_TOC_250002" w:id="9"/>
      <w:bookmarkEnd w:id="9"/>
      <w:r>
        <w:rPr>
          <w:rFonts w:ascii="Noto Sans CJK JP Regular" w:eastAsia="Noto Sans CJK JP Regular" w:hint="eastAsia"/>
        </w:rPr>
        <w:t>环境管理状况及监测计划</w:t>
      </w:r>
    </w:p>
    <w:tbl>
      <w:tblPr>
        <w:tblW w:w="0" w:type="auto"/>
        <w:jc w:val="left"/>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87"/>
      </w:tblGrid>
      <w:tr>
        <w:trPr>
          <w:trHeight w:val="2461" w:hRule="atLeast"/>
        </w:trPr>
        <w:tc>
          <w:tcPr>
            <w:tcW w:w="9287" w:type="dxa"/>
          </w:tcPr>
          <w:p>
            <w:pPr>
              <w:pStyle w:val="TableParagraph"/>
              <w:spacing w:line="439" w:lineRule="exact"/>
              <w:ind w:left="107"/>
              <w:rPr>
                <w:sz w:val="21"/>
              </w:rPr>
            </w:pPr>
            <w:r>
              <w:rPr>
                <w:sz w:val="21"/>
              </w:rPr>
              <w:t>环境管理机构设置（分施工期和运行期）</w:t>
            </w:r>
          </w:p>
          <w:p>
            <w:pPr>
              <w:pStyle w:val="TableParagraph"/>
              <w:spacing w:before="23"/>
              <w:ind w:left="107"/>
              <w:rPr>
                <w:sz w:val="21"/>
              </w:rPr>
            </w:pPr>
            <w:r>
              <w:rPr>
                <w:sz w:val="21"/>
              </w:rPr>
              <w:t>本项目未设环境管理机构。营运期的环境管理将由运营单位浙江华茂艺术教育博物馆完成。</w:t>
            </w:r>
          </w:p>
        </w:tc>
      </w:tr>
      <w:tr>
        <w:trPr>
          <w:trHeight w:val="2534" w:hRule="atLeast"/>
        </w:trPr>
        <w:tc>
          <w:tcPr>
            <w:tcW w:w="9287" w:type="dxa"/>
          </w:tcPr>
          <w:p>
            <w:pPr>
              <w:pStyle w:val="TableParagraph"/>
              <w:spacing w:line="439" w:lineRule="exact"/>
              <w:ind w:left="107"/>
              <w:rPr>
                <w:sz w:val="21"/>
              </w:rPr>
            </w:pPr>
            <w:r>
              <w:rPr>
                <w:sz w:val="21"/>
              </w:rPr>
              <w:t>环境监测能力建设情况</w:t>
            </w:r>
          </w:p>
          <w:p>
            <w:pPr>
              <w:pStyle w:val="TableParagraph"/>
              <w:spacing w:before="22"/>
              <w:ind w:left="107"/>
              <w:rPr>
                <w:sz w:val="21"/>
              </w:rPr>
            </w:pPr>
            <w:r>
              <w:rPr>
                <w:sz w:val="21"/>
              </w:rPr>
              <w:t>本项目未进行环境监测能力方面的建设。监测工作将委托有资质的监测单位进行。</w:t>
            </w:r>
          </w:p>
        </w:tc>
      </w:tr>
      <w:tr>
        <w:trPr>
          <w:trHeight w:val="2298" w:hRule="atLeast"/>
        </w:trPr>
        <w:tc>
          <w:tcPr>
            <w:tcW w:w="9287" w:type="dxa"/>
          </w:tcPr>
          <w:p>
            <w:pPr>
              <w:pStyle w:val="TableParagraph"/>
              <w:spacing w:line="252" w:lineRule="auto"/>
              <w:ind w:left="107" w:right="4752"/>
              <w:rPr>
                <w:sz w:val="21"/>
              </w:rPr>
            </w:pPr>
            <w:r>
              <w:rPr>
                <w:sz w:val="21"/>
              </w:rPr>
              <w:t>环境影响报告书中提出的监测计划及其落实情况环境影响报告书对本项目未提出监测计划。</w:t>
            </w:r>
          </w:p>
        </w:tc>
      </w:tr>
      <w:tr>
        <w:trPr>
          <w:trHeight w:val="2685" w:hRule="atLeast"/>
        </w:trPr>
        <w:tc>
          <w:tcPr>
            <w:tcW w:w="9287" w:type="dxa"/>
          </w:tcPr>
          <w:p>
            <w:pPr>
              <w:pStyle w:val="TableParagraph"/>
              <w:spacing w:line="439" w:lineRule="exact"/>
              <w:ind w:left="107"/>
              <w:rPr>
                <w:sz w:val="21"/>
              </w:rPr>
            </w:pPr>
            <w:r>
              <w:rPr>
                <w:sz w:val="21"/>
              </w:rPr>
              <w:t>环境管理状况分析与建议</w:t>
            </w:r>
          </w:p>
          <w:p>
            <w:pPr>
              <w:pStyle w:val="TableParagraph"/>
              <w:spacing w:line="252" w:lineRule="auto" w:before="22"/>
              <w:ind w:left="107" w:right="91"/>
              <w:jc w:val="both"/>
              <w:rPr>
                <w:sz w:val="21"/>
              </w:rPr>
            </w:pPr>
            <w:r>
              <w:rPr>
                <w:sz w:val="21"/>
              </w:rPr>
              <w:t>本项目营运期的环境管理工作将由运营单位浙江华茂艺术教育博物馆完成，施工期基本落实了各项环保措施，对外界环境影响不大。环评报告中提出的各项营运期的环保措施也基本得到了落实，如化粪池、废气烟道以及水泵等设备的隔声减噪措施等。</w:t>
            </w:r>
          </w:p>
        </w:tc>
      </w:tr>
    </w:tbl>
    <w:p>
      <w:pPr>
        <w:pStyle w:val="Heading1"/>
        <w:numPr>
          <w:ilvl w:val="0"/>
          <w:numId w:val="2"/>
        </w:numPr>
        <w:tabs>
          <w:tab w:pos="918" w:val="left" w:leader="none"/>
        </w:tabs>
        <w:spacing w:line="621" w:lineRule="exact" w:before="0" w:after="0"/>
        <w:ind w:left="918" w:right="0" w:hanging="420"/>
        <w:jc w:val="left"/>
        <w:rPr>
          <w:rFonts w:ascii="Noto Sans CJK JP Regular" w:eastAsia="Noto Sans CJK JP Regular" w:hint="eastAsia"/>
        </w:rPr>
      </w:pPr>
      <w:bookmarkStart w:name="_TOC_250001" w:id="10"/>
      <w:bookmarkEnd w:id="10"/>
      <w:r>
        <w:rPr>
          <w:rFonts w:ascii="Noto Sans CJK JP Regular" w:eastAsia="Noto Sans CJK JP Regular" w:hint="eastAsia"/>
        </w:rPr>
        <w:t>调查结论与建议</w:t>
      </w:r>
    </w:p>
    <w:p>
      <w:pPr>
        <w:pStyle w:val="BodyText"/>
        <w:spacing w:line="442" w:lineRule="exact"/>
        <w:ind w:left="498"/>
      </w:pPr>
      <w:r>
        <w:rPr/>
        <w:t>一、项目概况</w:t>
      </w:r>
    </w:p>
    <w:p>
      <w:pPr>
        <w:pStyle w:val="BodyText"/>
        <w:spacing w:line="252" w:lineRule="auto" w:before="23"/>
        <w:ind w:left="498" w:right="1202" w:firstLine="458"/>
        <w:jc w:val="both"/>
      </w:pPr>
      <w:r>
        <w:rPr/>
        <w:t>本项目是由宁波华茂教育文化投资有限公司开发建设的“博物馆”项目。本项目地   </w:t>
      </w:r>
      <w:r>
        <w:rPr>
          <w:spacing w:val="-4"/>
        </w:rPr>
        <w:t>块位于宁波市东钱湖旅游度假区连心路Ⅲ地块。项目实际总投资约</w:t>
      </w:r>
      <w:r>
        <w:rPr>
          <w:rFonts w:ascii="Times New Roman" w:hAnsi="Times New Roman" w:eastAsia="Times New Roman"/>
        </w:rPr>
        <w:t>12,000</w:t>
      </w:r>
      <w:r>
        <w:rPr>
          <w:spacing w:val="-6"/>
        </w:rPr>
        <w:t>万元，占地面积</w:t>
      </w:r>
      <w:r>
        <w:rPr>
          <w:rFonts w:ascii="Times New Roman" w:hAnsi="Times New Roman" w:eastAsia="Times New Roman"/>
          <w:spacing w:val="-6"/>
          <w:w w:val="105"/>
        </w:rPr>
        <w:t>8050.21</w:t>
      </w:r>
      <w:r>
        <w:rPr>
          <w:rFonts w:ascii="Times New Roman" w:hAnsi="Times New Roman" w:eastAsia="Times New Roman"/>
          <w:spacing w:val="-5"/>
          <w:w w:val="105"/>
        </w:rPr>
        <w:t> </w:t>
      </w:r>
      <w:r>
        <w:rPr>
          <w:rFonts w:ascii="Times New Roman" w:hAnsi="Times New Roman" w:eastAsia="Times New Roman"/>
          <w:w w:val="105"/>
        </w:rPr>
        <w:t>m</w:t>
      </w:r>
      <w:r>
        <w:rPr>
          <w:rFonts w:ascii="Times New Roman" w:hAnsi="Times New Roman" w:eastAsia="Times New Roman"/>
          <w:w w:val="105"/>
          <w:vertAlign w:val="superscript"/>
        </w:rPr>
        <w:t>2</w:t>
      </w:r>
      <w:r>
        <w:rPr>
          <w:spacing w:val="-2"/>
          <w:w w:val="105"/>
          <w:vertAlign w:val="baseline"/>
        </w:rPr>
        <w:t>，总建筑面积约</w:t>
      </w:r>
      <w:r>
        <w:rPr>
          <w:rFonts w:ascii="Times New Roman" w:hAnsi="Times New Roman" w:eastAsia="Times New Roman"/>
          <w:w w:val="105"/>
          <w:vertAlign w:val="baseline"/>
        </w:rPr>
        <w:t>6268.05</w:t>
      </w:r>
      <w:r>
        <w:rPr>
          <w:rFonts w:ascii="Times New Roman" w:hAnsi="Times New Roman" w:eastAsia="Times New Roman"/>
          <w:spacing w:val="-5"/>
          <w:w w:val="105"/>
          <w:vertAlign w:val="baseline"/>
        </w:rPr>
        <w:t> </w:t>
      </w:r>
      <w:r>
        <w:rPr>
          <w:rFonts w:ascii="Times New Roman" w:hAnsi="Times New Roman" w:eastAsia="Times New Roman"/>
          <w:w w:val="105"/>
          <w:vertAlign w:val="baseline"/>
        </w:rPr>
        <w:t>m</w:t>
      </w:r>
      <w:r>
        <w:rPr>
          <w:rFonts w:ascii="Times New Roman" w:hAnsi="Times New Roman" w:eastAsia="Times New Roman"/>
          <w:w w:val="105"/>
          <w:vertAlign w:val="superscript"/>
        </w:rPr>
        <w:t>2</w:t>
      </w:r>
      <w:r>
        <w:rPr>
          <w:w w:val="105"/>
          <w:vertAlign w:val="baseline"/>
        </w:rPr>
        <w:t>。</w:t>
      </w:r>
    </w:p>
    <w:p>
      <w:pPr>
        <w:pStyle w:val="BodyText"/>
        <w:spacing w:before="2"/>
        <w:ind w:left="956"/>
      </w:pPr>
      <w:r>
        <w:rPr/>
        <w:t>本项目环境影响报告书于</w:t>
      </w:r>
      <w:r>
        <w:rPr>
          <w:rFonts w:ascii="Times New Roman" w:eastAsia="Times New Roman"/>
        </w:rPr>
        <w:t>2011</w:t>
      </w:r>
      <w:r>
        <w:rPr/>
        <w:t>年</w:t>
      </w:r>
      <w:r>
        <w:rPr>
          <w:rFonts w:ascii="Times New Roman" w:eastAsia="Times New Roman"/>
        </w:rPr>
        <w:t>3</w:t>
      </w:r>
      <w:r>
        <w:rPr/>
        <w:t>月由宁波市环境保护科学研究设计院编制完成，</w:t>
      </w:r>
    </w:p>
    <w:p>
      <w:pPr>
        <w:pStyle w:val="BodyText"/>
        <w:spacing w:line="252" w:lineRule="auto" w:before="23"/>
        <w:ind w:left="498" w:right="1145"/>
      </w:pPr>
      <w:r>
        <w:rPr>
          <w:rFonts w:ascii="Times New Roman" w:hAnsi="Times New Roman" w:eastAsia="Times New Roman"/>
        </w:rPr>
        <w:t>2011</w:t>
      </w:r>
      <w:r>
        <w:rPr/>
        <w:t>年</w:t>
      </w:r>
      <w:r>
        <w:rPr>
          <w:rFonts w:ascii="Times New Roman" w:hAnsi="Times New Roman" w:eastAsia="Times New Roman"/>
        </w:rPr>
        <w:t>4</w:t>
      </w:r>
      <w:r>
        <w:rPr/>
        <w:t>月</w:t>
      </w:r>
      <w:r>
        <w:rPr>
          <w:rFonts w:ascii="Times New Roman" w:hAnsi="Times New Roman" w:eastAsia="Times New Roman"/>
        </w:rPr>
        <w:t>16</w:t>
      </w:r>
      <w:r>
        <w:rPr/>
        <w:t>日宁波东钱湖旅游度假区环境保护局对该项目进行了批复，文号为‘甬东旅</w:t>
      </w:r>
      <w:r>
        <w:rPr>
          <w:w w:val="100"/>
        </w:rPr>
        <w:t>环发</w:t>
      </w:r>
      <w:r>
        <w:rPr>
          <w:rFonts w:ascii="Times New Roman" w:hAnsi="Times New Roman" w:eastAsia="Times New Roman"/>
          <w:w w:val="100"/>
        </w:rPr>
        <w:t>[2011]2</w:t>
      </w:r>
      <w:r>
        <w:rPr>
          <w:w w:val="361"/>
        </w:rPr>
        <w:t>’</w:t>
      </w:r>
      <w:r>
        <w:rPr>
          <w:w w:val="100"/>
        </w:rPr>
        <w:t>。</w:t>
      </w:r>
      <w:r>
        <w:rPr>
          <w:rFonts w:ascii="Times New Roman" w:hAnsi="Times New Roman" w:eastAsia="Times New Roman"/>
          <w:w w:val="100"/>
        </w:rPr>
        <w:t>2016</w:t>
      </w:r>
      <w:r>
        <w:rPr>
          <w:w w:val="100"/>
        </w:rPr>
        <w:t>年</w:t>
      </w:r>
      <w:r>
        <w:rPr>
          <w:rFonts w:ascii="Times New Roman" w:hAnsi="Times New Roman" w:eastAsia="Times New Roman"/>
          <w:w w:val="100"/>
        </w:rPr>
        <w:t>5</w:t>
      </w:r>
      <w:r>
        <w:rPr>
          <w:w w:val="100"/>
        </w:rPr>
        <w:t>月</w:t>
      </w:r>
      <w:r>
        <w:rPr>
          <w:rFonts w:ascii="Times New Roman" w:hAnsi="Times New Roman" w:eastAsia="Times New Roman"/>
          <w:w w:val="100"/>
        </w:rPr>
        <w:t>5</w:t>
      </w:r>
      <w:r>
        <w:rPr>
          <w:w w:val="100"/>
        </w:rPr>
        <w:t>日取得本项目建设工程规划许可证。</w:t>
      </w:r>
    </w:p>
    <w:p>
      <w:pPr>
        <w:spacing w:after="0" w:line="252" w:lineRule="auto"/>
        <w:sectPr>
          <w:pgSz w:w="11910" w:h="17580"/>
          <w:pgMar w:header="877" w:footer="1146" w:top="1380" w:bottom="1340" w:left="1300" w:right="800"/>
        </w:sectPr>
      </w:pPr>
    </w:p>
    <w:p>
      <w:pPr>
        <w:pStyle w:val="BodyText"/>
        <w:spacing w:line="252" w:lineRule="auto" w:before="47"/>
        <w:ind w:left="498" w:right="5276" w:firstLine="458"/>
      </w:pPr>
      <w:r>
        <w:rPr/>
        <w:t>本项目实际始于</w:t>
      </w:r>
      <w:r>
        <w:rPr>
          <w:rFonts w:ascii="Times New Roman" w:eastAsia="Times New Roman"/>
        </w:rPr>
        <w:t>2017</w:t>
      </w:r>
      <w:r>
        <w:rPr/>
        <w:t>年，</w:t>
      </w:r>
      <w:r>
        <w:rPr>
          <w:rFonts w:ascii="Times New Roman" w:eastAsia="Times New Roman"/>
        </w:rPr>
        <w:t>2019</w:t>
      </w:r>
      <w:r>
        <w:rPr/>
        <w:t>年完工。二、环境保护措施落实情况调查</w:t>
      </w:r>
    </w:p>
    <w:p>
      <w:pPr>
        <w:pStyle w:val="BodyText"/>
        <w:spacing w:before="1"/>
        <w:ind w:left="498"/>
      </w:pPr>
      <w:r>
        <w:rPr>
          <w:rFonts w:ascii="Times New Roman" w:eastAsia="Times New Roman"/>
        </w:rPr>
        <w:t>1</w:t>
      </w:r>
      <w:r>
        <w:rPr/>
        <w:t>、施工期环保措施落实情况</w:t>
      </w:r>
    </w:p>
    <w:p>
      <w:pPr>
        <w:pStyle w:val="BodyText"/>
        <w:spacing w:line="252" w:lineRule="auto" w:before="23"/>
        <w:ind w:left="498" w:right="1099"/>
      </w:pPr>
      <w:r>
        <w:rPr>
          <w:rFonts w:ascii="Times New Roman" w:eastAsia="Times New Roman"/>
          <w:spacing w:val="-16"/>
        </w:rPr>
        <w:t>1</w:t>
      </w:r>
      <w:r>
        <w:rPr>
          <w:spacing w:val="-16"/>
        </w:rPr>
        <w:t>）</w:t>
      </w:r>
      <w:r>
        <w:rPr>
          <w:spacing w:val="-8"/>
        </w:rPr>
        <w:t>采用商品混凝土；对施工现场及车辆进出道路进行洒水抑尘；建筑物外墙设置防尘网； </w:t>
      </w:r>
      <w:r>
        <w:rPr>
          <w:spacing w:val="-5"/>
        </w:rPr>
        <w:t>施工车辆限速行驶；对车辆行驶路面洒水抑尘；运输车辆覆盖篷布。</w:t>
      </w:r>
    </w:p>
    <w:p>
      <w:pPr>
        <w:pStyle w:val="BodyText"/>
        <w:spacing w:line="252" w:lineRule="auto" w:before="1"/>
        <w:ind w:left="498" w:right="1168"/>
        <w:jc w:val="both"/>
      </w:pPr>
      <w:r>
        <w:rPr>
          <w:rFonts w:ascii="Times New Roman" w:eastAsia="Times New Roman"/>
        </w:rPr>
        <w:t>2</w:t>
      </w:r>
      <w:r>
        <w:rPr/>
        <w:t>）施工营地配建了临时隔油设施、化粪池，施工人员生活污水经处理达到《污水综合排放标准》（</w:t>
      </w:r>
      <w:r>
        <w:rPr>
          <w:rFonts w:ascii="Times New Roman" w:eastAsia="Times New Roman"/>
        </w:rPr>
        <w:t>GB8978-1996</w:t>
      </w:r>
      <w:r>
        <w:rPr/>
        <w:t>）三级标准后纳入市政污水管网；泥浆水经沉淀池沉淀后排放， 施工工地周围设置排水明沟，径流水经沉淀池沉淀后排放。</w:t>
      </w:r>
    </w:p>
    <w:p>
      <w:pPr>
        <w:pStyle w:val="BodyText"/>
        <w:spacing w:before="2"/>
        <w:ind w:left="498"/>
      </w:pPr>
      <w:r>
        <w:rPr>
          <w:rFonts w:ascii="Times New Roman" w:eastAsia="Times New Roman"/>
        </w:rPr>
        <w:t>3</w:t>
      </w:r>
      <w:r>
        <w:rPr/>
        <w:t>）选用低噪声施工机械；夜间没有进行产生环境污染的施工作业；文明施工。</w:t>
      </w:r>
    </w:p>
    <w:p>
      <w:pPr>
        <w:pStyle w:val="BodyText"/>
        <w:spacing w:line="252" w:lineRule="auto" w:before="23"/>
        <w:ind w:left="498" w:right="1205"/>
      </w:pPr>
      <w:r>
        <w:rPr>
          <w:rFonts w:ascii="Times New Roman" w:eastAsia="Times New Roman"/>
        </w:rPr>
        <w:t>4</w:t>
      </w:r>
      <w:r>
        <w:rPr/>
        <w:t>）施工单位在施工营地设立了垃圾箱，对生活垃圾采取定点收集，并统一交由环卫部门处置。</w:t>
      </w:r>
    </w:p>
    <w:p>
      <w:pPr>
        <w:pStyle w:val="BodyText"/>
        <w:spacing w:line="252" w:lineRule="auto" w:before="1"/>
        <w:ind w:left="498" w:right="1205"/>
      </w:pPr>
      <w:r>
        <w:rPr>
          <w:rFonts w:ascii="Times New Roman" w:eastAsia="Times New Roman"/>
        </w:rPr>
        <w:t>5</w:t>
      </w:r>
      <w:r>
        <w:rPr/>
        <w:t>）</w:t>
      </w:r>
      <w:r>
        <w:rPr>
          <w:spacing w:val="-3"/>
        </w:rPr>
        <w:t>通过排水、土地平整、绿化以及土方临时防护等措施，最大限度减少水土流失；将多余土方在项目区内加以利用。                                                                                                                 </w:t>
      </w:r>
      <w:r>
        <w:rPr>
          <w:rFonts w:ascii="Times New Roman" w:eastAsia="Times New Roman"/>
          <w:spacing w:val="-3"/>
        </w:rPr>
        <w:t>2</w:t>
      </w:r>
      <w:r>
        <w:rPr>
          <w:spacing w:val="-3"/>
        </w:rPr>
        <w:t>、营运期环保措施落实情况</w:t>
      </w:r>
    </w:p>
    <w:p>
      <w:pPr>
        <w:pStyle w:val="BodyText"/>
        <w:spacing w:before="2"/>
        <w:ind w:left="498"/>
      </w:pPr>
      <w:r>
        <w:rPr>
          <w:rFonts w:ascii="Times New Roman" w:eastAsia="Times New Roman"/>
        </w:rPr>
        <w:t>1</w:t>
      </w:r>
      <w:r>
        <w:rPr/>
        <w:t>）废气</w:t>
      </w:r>
    </w:p>
    <w:p>
      <w:pPr>
        <w:pStyle w:val="BodyText"/>
        <w:spacing w:before="23"/>
        <w:ind w:left="498"/>
      </w:pPr>
      <w:r>
        <w:rPr/>
        <w:t>本项目无地下车库，无炉、灶使用，因此无废气排放。</w:t>
      </w:r>
    </w:p>
    <w:p>
      <w:pPr>
        <w:pStyle w:val="BodyText"/>
        <w:spacing w:before="23"/>
        <w:ind w:left="498"/>
      </w:pPr>
      <w:r>
        <w:rPr>
          <w:rFonts w:ascii="Times New Roman" w:eastAsia="Times New Roman"/>
        </w:rPr>
        <w:t>2</w:t>
      </w:r>
      <w:r>
        <w:rPr/>
        <w:t>）废水</w:t>
      </w:r>
    </w:p>
    <w:p>
      <w:pPr>
        <w:pStyle w:val="BodyText"/>
        <w:spacing w:line="252" w:lineRule="auto" w:before="23"/>
        <w:ind w:left="498" w:right="1168"/>
      </w:pPr>
      <w:r>
        <w:rPr/>
        <w:t>项目雨、污分流。生活污水经化粪池处理后达到《污水综合排放标准》（</w:t>
      </w:r>
      <w:r>
        <w:rPr>
          <w:rFonts w:ascii="Times New Roman" w:eastAsia="Times New Roman"/>
        </w:rPr>
        <w:t>GB8978-1996</w:t>
      </w:r>
      <w:r>
        <w:rPr/>
        <w:t>） 三级标准后纳入市政污水管网。</w:t>
      </w:r>
    </w:p>
    <w:p>
      <w:pPr>
        <w:pStyle w:val="BodyText"/>
        <w:spacing w:before="1"/>
        <w:ind w:left="498"/>
      </w:pPr>
      <w:r>
        <w:rPr>
          <w:rFonts w:ascii="Times New Roman" w:eastAsia="Times New Roman"/>
        </w:rPr>
        <w:t>3</w:t>
      </w:r>
      <w:r>
        <w:rPr/>
        <w:t>）噪声</w:t>
      </w:r>
    </w:p>
    <w:p>
      <w:pPr>
        <w:pStyle w:val="BodyText"/>
        <w:spacing w:line="252" w:lineRule="auto" w:before="23"/>
        <w:ind w:left="498" w:right="1205"/>
      </w:pPr>
      <w:r>
        <w:rPr/>
        <w:t>（</w:t>
      </w:r>
      <w:r>
        <w:rPr>
          <w:rFonts w:ascii="Times New Roman" w:eastAsia="Times New Roman"/>
        </w:rPr>
        <w:t>1</w:t>
      </w:r>
      <w:r>
        <w:rPr/>
        <w:t>）水泵房、消防泵房、排污泵房位于专用设备房内，均有软接、减震等措施，且均选用低噪声设备；</w:t>
      </w:r>
    </w:p>
    <w:p>
      <w:pPr>
        <w:pStyle w:val="BodyText"/>
        <w:spacing w:before="1"/>
        <w:ind w:left="498"/>
      </w:pPr>
      <w:r>
        <w:rPr/>
        <w:t>（</w:t>
      </w:r>
      <w:r>
        <w:rPr>
          <w:rFonts w:ascii="Times New Roman" w:eastAsia="Times New Roman"/>
        </w:rPr>
        <w:t>2</w:t>
      </w:r>
      <w:r>
        <w:rPr/>
        <w:t>）空调机房位于地面</w:t>
      </w:r>
      <w:r>
        <w:rPr>
          <w:rFonts w:ascii="Times New Roman" w:eastAsia="Times New Roman"/>
        </w:rPr>
        <w:t>1F</w:t>
      </w:r>
      <w:r>
        <w:rPr/>
        <w:t>，设备底座铺设减震垫；</w:t>
      </w:r>
    </w:p>
    <w:p>
      <w:pPr>
        <w:pStyle w:val="BodyText"/>
        <w:spacing w:before="23"/>
        <w:ind w:left="498"/>
      </w:pPr>
      <w:r>
        <w:rPr>
          <w:rFonts w:ascii="Times New Roman" w:eastAsia="Times New Roman"/>
        </w:rPr>
        <w:t>4</w:t>
      </w:r>
      <w:r>
        <w:rPr/>
        <w:t>）固体废物</w:t>
      </w:r>
    </w:p>
    <w:p>
      <w:pPr>
        <w:pStyle w:val="BodyText"/>
        <w:spacing w:before="22"/>
        <w:ind w:left="498"/>
      </w:pPr>
      <w:r>
        <w:rPr/>
        <w:t>生活垃圾委托环卫部门清运处理，生活垃圾一日一清。</w:t>
      </w:r>
    </w:p>
    <w:p>
      <w:pPr>
        <w:pStyle w:val="BodyText"/>
        <w:spacing w:line="252" w:lineRule="auto" w:before="24"/>
        <w:ind w:left="498" w:right="1099"/>
      </w:pPr>
      <w:r>
        <w:rPr>
          <w:rFonts w:ascii="Times New Roman" w:eastAsia="Times New Roman"/>
          <w:spacing w:val="-28"/>
        </w:rPr>
        <w:t>5</w:t>
      </w:r>
      <w:r>
        <w:rPr>
          <w:spacing w:val="-28"/>
        </w:rPr>
        <w:t>）</w:t>
      </w:r>
      <w:r>
        <w:rPr>
          <w:spacing w:val="-18"/>
        </w:rPr>
        <w:t>生态保护：绿化区采取草地、灌木、乔木相结合的形式进行绿化补偿。绿化率达到</w:t>
      </w:r>
      <w:r>
        <w:rPr>
          <w:rFonts w:ascii="Times New Roman" w:eastAsia="Times New Roman"/>
        </w:rPr>
        <w:t>35%</w:t>
      </w:r>
      <w:r>
        <w:rPr/>
        <w:t>。</w:t>
      </w:r>
      <w:r>
        <w:rPr>
          <w:spacing w:val="-3"/>
        </w:rPr>
        <w:t>三、环境影响调查</w:t>
      </w:r>
    </w:p>
    <w:p>
      <w:pPr>
        <w:pStyle w:val="BodyText"/>
        <w:spacing w:before="1"/>
        <w:ind w:left="498"/>
      </w:pPr>
      <w:r>
        <w:rPr>
          <w:rFonts w:ascii="Times New Roman" w:eastAsia="Times New Roman"/>
        </w:rPr>
        <w:t>1</w:t>
      </w:r>
      <w:r>
        <w:rPr/>
        <w:t>、施工期</w:t>
      </w:r>
    </w:p>
    <w:p>
      <w:pPr>
        <w:pStyle w:val="BodyText"/>
        <w:spacing w:line="252" w:lineRule="auto" w:before="23"/>
        <w:ind w:left="498" w:right="1202"/>
      </w:pPr>
      <w:r>
        <w:rPr>
          <w:spacing w:val="-7"/>
        </w:rPr>
        <w:t>施工单位基本按照环评及批复要求落实了各项环保措施，施工期间未接到周围居民环保投诉。</w:t>
      </w:r>
    </w:p>
    <w:p>
      <w:pPr>
        <w:pStyle w:val="BodyText"/>
        <w:spacing w:before="1"/>
        <w:ind w:left="498"/>
      </w:pPr>
      <w:r>
        <w:rPr>
          <w:rFonts w:ascii="Times New Roman" w:eastAsia="Times New Roman"/>
        </w:rPr>
        <w:t>2</w:t>
      </w:r>
      <w:r>
        <w:rPr/>
        <w:t>、营运期</w:t>
      </w:r>
    </w:p>
    <w:p>
      <w:pPr>
        <w:spacing w:after="0"/>
        <w:sectPr>
          <w:pgSz w:w="11910" w:h="17580"/>
          <w:pgMar w:header="877" w:footer="1146" w:top="1380" w:bottom="1340" w:left="1300" w:right="800"/>
        </w:sectPr>
      </w:pPr>
    </w:p>
    <w:p>
      <w:pPr>
        <w:pStyle w:val="BodyText"/>
        <w:spacing w:before="47"/>
        <w:ind w:left="498"/>
        <w:jc w:val="both"/>
      </w:pPr>
      <w:r>
        <w:rPr>
          <w:rFonts w:ascii="Times New Roman" w:eastAsia="Times New Roman"/>
        </w:rPr>
        <w:t>1</w:t>
      </w:r>
      <w:r>
        <w:rPr/>
        <w:t>）水环境</w:t>
      </w:r>
    </w:p>
    <w:p>
      <w:pPr>
        <w:pStyle w:val="BodyText"/>
        <w:spacing w:before="23"/>
        <w:ind w:left="498"/>
        <w:jc w:val="both"/>
      </w:pPr>
      <w:r>
        <w:rPr/>
        <w:t>项目雨、污分流， 生活污水收集后化粪池预处理后达到《污水综合排放标准》</w:t>
      </w:r>
    </w:p>
    <w:p>
      <w:pPr>
        <w:pStyle w:val="BodyText"/>
        <w:spacing w:before="23"/>
        <w:ind w:left="498"/>
        <w:jc w:val="both"/>
      </w:pPr>
      <w:r>
        <w:rPr/>
        <w:t>（</w:t>
      </w:r>
      <w:r>
        <w:rPr>
          <w:rFonts w:ascii="Times New Roman" w:eastAsia="Times New Roman"/>
        </w:rPr>
        <w:t>GB8978-1996</w:t>
      </w:r>
      <w:r>
        <w:rPr/>
        <w:t>）三级标准后纳入市政污水管网。对周围水环境影响较小。</w:t>
      </w:r>
    </w:p>
    <w:p>
      <w:pPr>
        <w:pStyle w:val="BodyText"/>
        <w:spacing w:before="23"/>
        <w:ind w:left="498"/>
        <w:jc w:val="both"/>
      </w:pPr>
      <w:r>
        <w:rPr>
          <w:rFonts w:ascii="Times New Roman" w:eastAsia="Times New Roman"/>
        </w:rPr>
        <w:t>2</w:t>
      </w:r>
      <w:r>
        <w:rPr/>
        <w:t>）大气环境</w:t>
      </w:r>
    </w:p>
    <w:p>
      <w:pPr>
        <w:pStyle w:val="BodyText"/>
        <w:spacing w:line="252" w:lineRule="auto" w:before="22"/>
        <w:ind w:left="498" w:right="1202"/>
        <w:jc w:val="both"/>
      </w:pPr>
      <w:r>
        <w:rPr>
          <w:spacing w:val="-8"/>
        </w:rPr>
        <w:t>本项目为整体工程中的二期工程，运营期不涉及地下车库及炉灶使用所排放的废气，主要</w:t>
      </w:r>
      <w:r>
        <w:rPr>
          <w:spacing w:val="-9"/>
        </w:rPr>
        <w:t>废气为公共卫生间机械通风产生的废气，已集中至楼顶排放；生活垃圾日产日清，基本不</w:t>
      </w:r>
      <w:r>
        <w:rPr>
          <w:spacing w:val="-5"/>
        </w:rPr>
        <w:t>会产生异味对环境造成影响。</w:t>
      </w:r>
    </w:p>
    <w:p>
      <w:pPr>
        <w:pStyle w:val="BodyText"/>
        <w:spacing w:before="2"/>
        <w:ind w:left="498"/>
      </w:pPr>
      <w:r>
        <w:rPr>
          <w:rFonts w:ascii="Times New Roman" w:eastAsia="Times New Roman"/>
        </w:rPr>
        <w:t>3</w:t>
      </w:r>
      <w:r>
        <w:rPr/>
        <w:t>）声环境</w:t>
      </w:r>
    </w:p>
    <w:p>
      <w:pPr>
        <w:pStyle w:val="BodyText"/>
        <w:spacing w:line="252" w:lineRule="auto" w:before="23"/>
        <w:ind w:left="498" w:right="1202"/>
      </w:pPr>
      <w:r>
        <w:rPr>
          <w:spacing w:val="-7"/>
        </w:rPr>
        <w:t>本项目受到的噪声影响主要来源于周边道路交通噪声、建筑内部设备，验收期间对场界四</w:t>
      </w:r>
      <w:r>
        <w:rPr>
          <w:spacing w:val="-5"/>
        </w:rPr>
        <w:t>侧声环境进行了委托监测，监测结果能满足标准要求，对环境影响小。</w:t>
      </w:r>
    </w:p>
    <w:p>
      <w:pPr>
        <w:pStyle w:val="BodyText"/>
        <w:spacing w:before="2"/>
        <w:ind w:left="498"/>
      </w:pPr>
      <w:r>
        <w:rPr>
          <w:rFonts w:ascii="Times New Roman" w:eastAsia="Times New Roman"/>
        </w:rPr>
        <w:t>4</w:t>
      </w:r>
      <w:r>
        <w:rPr/>
        <w:t>）固废</w:t>
      </w:r>
    </w:p>
    <w:p>
      <w:pPr>
        <w:pStyle w:val="BodyText"/>
        <w:spacing w:line="252" w:lineRule="auto" w:before="22"/>
        <w:ind w:left="498" w:right="3629"/>
      </w:pPr>
      <w:r>
        <w:rPr/>
        <w:t>项目营运期固废主要为生活垃圾，日产日清，对环境影响小。四、总结论</w:t>
      </w:r>
    </w:p>
    <w:p>
      <w:pPr>
        <w:pStyle w:val="BodyText"/>
        <w:spacing w:line="252" w:lineRule="auto" w:before="1"/>
        <w:ind w:left="498" w:right="1096"/>
        <w:jc w:val="both"/>
      </w:pPr>
      <w:r>
        <w:rPr>
          <w:spacing w:val="-13"/>
        </w:rPr>
        <w:t>根据环评报告及批复与实际情况一一核对，基本满足要求。本工程建设前期环境保护审查、审批手续完备，技术资料与环境保护档案资料齐全；项目的环境影响报告表和批复中要求</w:t>
      </w:r>
      <w:r>
        <w:rPr>
          <w:spacing w:val="-6"/>
        </w:rPr>
        <w:t>的各项污染控制措施已基本得到落实，符合竣工环境保护预验收条件。</w:t>
      </w:r>
    </w:p>
    <w:p>
      <w:pPr>
        <w:spacing w:after="0" w:line="252" w:lineRule="auto"/>
        <w:jc w:val="both"/>
        <w:sectPr>
          <w:pgSz w:w="11910" w:h="17580"/>
          <w:pgMar w:header="877" w:footer="1146" w:top="1380" w:bottom="1340" w:left="1300" w:right="800"/>
        </w:sectPr>
      </w:pPr>
    </w:p>
    <w:p>
      <w:pPr>
        <w:pStyle w:val="Heading1"/>
        <w:numPr>
          <w:ilvl w:val="0"/>
          <w:numId w:val="2"/>
        </w:numPr>
        <w:tabs>
          <w:tab w:pos="918" w:val="left" w:leader="none"/>
        </w:tabs>
        <w:spacing w:line="662" w:lineRule="exact" w:before="0" w:after="0"/>
        <w:ind w:left="918" w:right="0" w:hanging="420"/>
        <w:jc w:val="left"/>
        <w:rPr>
          <w:rFonts w:ascii="Noto Sans CJK JP Regular" w:eastAsia="Noto Sans CJK JP Regular" w:hint="eastAsia"/>
        </w:rPr>
      </w:pPr>
      <w:bookmarkStart w:name="_TOC_250000" w:id="11"/>
      <w:bookmarkEnd w:id="11"/>
      <w:r>
        <w:rPr>
          <w:rFonts w:ascii="Noto Sans CJK JP Regular" w:eastAsia="Noto Sans CJK JP Regular" w:hint="eastAsia"/>
        </w:rPr>
        <w:t>附件与附图</w:t>
      </w:r>
    </w:p>
    <w:p>
      <w:pPr>
        <w:pStyle w:val="ListParagraph"/>
        <w:numPr>
          <w:ilvl w:val="1"/>
          <w:numId w:val="2"/>
        </w:numPr>
        <w:tabs>
          <w:tab w:pos="1337" w:val="left" w:leader="none"/>
          <w:tab w:pos="1338" w:val="left" w:leader="none"/>
        </w:tabs>
        <w:spacing w:line="620" w:lineRule="exact" w:before="0" w:after="0"/>
        <w:ind w:left="1338" w:right="0" w:hanging="840"/>
        <w:jc w:val="left"/>
        <w:rPr>
          <w:sz w:val="30"/>
        </w:rPr>
      </w:pPr>
      <w:r>
        <w:rPr/>
        <w:drawing>
          <wp:anchor distT="0" distB="0" distL="0" distR="0" allowOverlap="1" layoutInCell="1" locked="0" behindDoc="1" simplePos="0" relativeHeight="268435247">
            <wp:simplePos x="0" y="0"/>
            <wp:positionH relativeFrom="page">
              <wp:posOffset>1141094</wp:posOffset>
            </wp:positionH>
            <wp:positionV relativeFrom="paragraph">
              <wp:posOffset>438171</wp:posOffset>
            </wp:positionV>
            <wp:extent cx="5268943" cy="7246238"/>
            <wp:effectExtent l="0" t="0" r="0" b="0"/>
            <wp:wrapTopAndBottom/>
            <wp:docPr id="25" name="image13.jpeg" descr=""/>
            <wp:cNvGraphicFramePr>
              <a:graphicFrameLocks noChangeAspect="1"/>
            </wp:cNvGraphicFramePr>
            <a:graphic>
              <a:graphicData uri="http://schemas.openxmlformats.org/drawingml/2006/picture">
                <pic:pic>
                  <pic:nvPicPr>
                    <pic:cNvPr id="26" name="image13.jpeg"/>
                    <pic:cNvPicPr/>
                  </pic:nvPicPr>
                  <pic:blipFill>
                    <a:blip r:embed="rId23" cstate="print"/>
                    <a:stretch>
                      <a:fillRect/>
                    </a:stretch>
                  </pic:blipFill>
                  <pic:spPr>
                    <a:xfrm>
                      <a:off x="0" y="0"/>
                      <a:ext cx="5268943" cy="7246238"/>
                    </a:xfrm>
                    <a:prstGeom prst="rect">
                      <a:avLst/>
                    </a:prstGeom>
                  </pic:spPr>
                </pic:pic>
              </a:graphicData>
            </a:graphic>
          </wp:anchor>
        </w:drawing>
      </w:r>
      <w:r>
        <w:rPr>
          <w:spacing w:val="3"/>
          <w:sz w:val="30"/>
        </w:rPr>
        <w:t>附件 </w:t>
      </w:r>
      <w:r>
        <w:rPr>
          <w:rFonts w:ascii="Times New Roman" w:eastAsia="Times New Roman"/>
          <w:b/>
          <w:sz w:val="30"/>
        </w:rPr>
        <w:t>1</w:t>
      </w:r>
      <w:r>
        <w:rPr>
          <w:rFonts w:ascii="Times New Roman" w:eastAsia="Times New Roman"/>
          <w:b/>
          <w:spacing w:val="46"/>
          <w:sz w:val="30"/>
        </w:rPr>
        <w:t> </w:t>
      </w:r>
      <w:r>
        <w:rPr>
          <w:sz w:val="30"/>
        </w:rPr>
        <w:t>立项批复</w:t>
      </w:r>
    </w:p>
    <w:p>
      <w:pPr>
        <w:spacing w:after="0" w:line="620" w:lineRule="exact"/>
        <w:jc w:val="left"/>
        <w:rPr>
          <w:sz w:val="30"/>
        </w:rPr>
        <w:sectPr>
          <w:pgSz w:w="11910" w:h="17580"/>
          <w:pgMar w:header="877" w:footer="1146" w:top="1380" w:bottom="1340" w:left="1300" w:right="800"/>
        </w:sectPr>
      </w:pPr>
    </w:p>
    <w:p>
      <w:pPr>
        <w:pStyle w:val="BodyText"/>
        <w:rPr>
          <w:rFonts w:ascii="Times New Roman"/>
          <w:sz w:val="9"/>
        </w:rPr>
      </w:pPr>
    </w:p>
    <w:p>
      <w:pPr>
        <w:pStyle w:val="BodyText"/>
        <w:ind w:left="497"/>
        <w:rPr>
          <w:rFonts w:ascii="Times New Roman"/>
          <w:sz w:val="20"/>
        </w:rPr>
      </w:pPr>
      <w:r>
        <w:rPr>
          <w:rFonts w:ascii="Times New Roman"/>
          <w:sz w:val="20"/>
        </w:rPr>
        <w:drawing>
          <wp:inline distT="0" distB="0" distL="0" distR="0">
            <wp:extent cx="5268943" cy="7246239"/>
            <wp:effectExtent l="0" t="0" r="0" b="0"/>
            <wp:docPr id="27" name="image14.jpeg" descr=""/>
            <wp:cNvGraphicFramePr>
              <a:graphicFrameLocks noChangeAspect="1"/>
            </wp:cNvGraphicFramePr>
            <a:graphic>
              <a:graphicData uri="http://schemas.openxmlformats.org/drawingml/2006/picture">
                <pic:pic>
                  <pic:nvPicPr>
                    <pic:cNvPr id="28" name="image14.jpeg"/>
                    <pic:cNvPicPr/>
                  </pic:nvPicPr>
                  <pic:blipFill>
                    <a:blip r:embed="rId24" cstate="print"/>
                    <a:stretch>
                      <a:fillRect/>
                    </a:stretch>
                  </pic:blipFill>
                  <pic:spPr>
                    <a:xfrm>
                      <a:off x="0" y="0"/>
                      <a:ext cx="5268943" cy="7246239"/>
                    </a:xfrm>
                    <a:prstGeom prst="rect">
                      <a:avLst/>
                    </a:prstGeom>
                  </pic:spPr>
                </pic:pic>
              </a:graphicData>
            </a:graphic>
          </wp:inline>
        </w:drawing>
      </w:r>
      <w:r>
        <w:rPr>
          <w:rFonts w:ascii="Times New Roman"/>
          <w:sz w:val="20"/>
        </w:rPr>
      </w:r>
    </w:p>
    <w:p>
      <w:pPr>
        <w:spacing w:after="0"/>
        <w:rPr>
          <w:rFonts w:ascii="Times New Roman"/>
          <w:sz w:val="20"/>
        </w:rPr>
        <w:sectPr>
          <w:pgSz w:w="11910" w:h="17580"/>
          <w:pgMar w:header="877" w:footer="1146" w:top="1380" w:bottom="1340" w:left="1300" w:right="800"/>
        </w:sectPr>
      </w:pPr>
    </w:p>
    <w:p>
      <w:pPr>
        <w:pStyle w:val="BodyText"/>
        <w:rPr>
          <w:rFonts w:ascii="Times New Roman"/>
          <w:sz w:val="9"/>
        </w:rPr>
      </w:pPr>
    </w:p>
    <w:p>
      <w:pPr>
        <w:pStyle w:val="BodyText"/>
        <w:ind w:left="497"/>
        <w:rPr>
          <w:rFonts w:ascii="Times New Roman"/>
          <w:sz w:val="20"/>
        </w:rPr>
      </w:pPr>
      <w:r>
        <w:rPr>
          <w:rFonts w:ascii="Times New Roman"/>
          <w:sz w:val="20"/>
        </w:rPr>
        <w:drawing>
          <wp:inline distT="0" distB="0" distL="0" distR="0">
            <wp:extent cx="5268943" cy="6688835"/>
            <wp:effectExtent l="0" t="0" r="0" b="0"/>
            <wp:docPr id="29" name="image15.jpeg" descr=""/>
            <wp:cNvGraphicFramePr>
              <a:graphicFrameLocks noChangeAspect="1"/>
            </wp:cNvGraphicFramePr>
            <a:graphic>
              <a:graphicData uri="http://schemas.openxmlformats.org/drawingml/2006/picture">
                <pic:pic>
                  <pic:nvPicPr>
                    <pic:cNvPr id="30" name="image15.jpeg"/>
                    <pic:cNvPicPr/>
                  </pic:nvPicPr>
                  <pic:blipFill>
                    <a:blip r:embed="rId25" cstate="print"/>
                    <a:stretch>
                      <a:fillRect/>
                    </a:stretch>
                  </pic:blipFill>
                  <pic:spPr>
                    <a:xfrm>
                      <a:off x="0" y="0"/>
                      <a:ext cx="5268943" cy="6688835"/>
                    </a:xfrm>
                    <a:prstGeom prst="rect">
                      <a:avLst/>
                    </a:prstGeom>
                  </pic:spPr>
                </pic:pic>
              </a:graphicData>
            </a:graphic>
          </wp:inline>
        </w:drawing>
      </w:r>
      <w:r>
        <w:rPr>
          <w:rFonts w:ascii="Times New Roman"/>
          <w:sz w:val="20"/>
        </w:rPr>
      </w:r>
    </w:p>
    <w:p>
      <w:pPr>
        <w:spacing w:after="0"/>
        <w:rPr>
          <w:rFonts w:ascii="Times New Roman"/>
          <w:sz w:val="20"/>
        </w:rPr>
        <w:sectPr>
          <w:pgSz w:w="11910" w:h="17580"/>
          <w:pgMar w:header="877" w:footer="1146" w:top="1380" w:bottom="1340" w:left="1300" w:right="800"/>
        </w:sectPr>
      </w:pPr>
    </w:p>
    <w:p>
      <w:pPr>
        <w:pStyle w:val="ListParagraph"/>
        <w:numPr>
          <w:ilvl w:val="1"/>
          <w:numId w:val="2"/>
        </w:numPr>
        <w:tabs>
          <w:tab w:pos="1337" w:val="left" w:leader="none"/>
          <w:tab w:pos="1338" w:val="left" w:leader="none"/>
        </w:tabs>
        <w:spacing w:line="240" w:lineRule="auto" w:before="22" w:after="0"/>
        <w:ind w:left="1338" w:right="0" w:hanging="840"/>
        <w:jc w:val="left"/>
        <w:rPr>
          <w:sz w:val="30"/>
        </w:rPr>
      </w:pPr>
      <w:r>
        <w:rPr/>
        <w:drawing>
          <wp:anchor distT="0" distB="0" distL="0" distR="0" allowOverlap="1" layoutInCell="1" locked="0" behindDoc="1" simplePos="0" relativeHeight="268435271">
            <wp:simplePos x="0" y="0"/>
            <wp:positionH relativeFrom="page">
              <wp:posOffset>1141094</wp:posOffset>
            </wp:positionH>
            <wp:positionV relativeFrom="paragraph">
              <wp:posOffset>476355</wp:posOffset>
            </wp:positionV>
            <wp:extent cx="5244695" cy="8399049"/>
            <wp:effectExtent l="0" t="0" r="0" b="0"/>
            <wp:wrapTopAndBottom/>
            <wp:docPr id="31" name="image16.jpeg" descr=""/>
            <wp:cNvGraphicFramePr>
              <a:graphicFrameLocks noChangeAspect="1"/>
            </wp:cNvGraphicFramePr>
            <a:graphic>
              <a:graphicData uri="http://schemas.openxmlformats.org/drawingml/2006/picture">
                <pic:pic>
                  <pic:nvPicPr>
                    <pic:cNvPr id="32" name="image16.jpeg"/>
                    <pic:cNvPicPr/>
                  </pic:nvPicPr>
                  <pic:blipFill>
                    <a:blip r:embed="rId26" cstate="print"/>
                    <a:stretch>
                      <a:fillRect/>
                    </a:stretch>
                  </pic:blipFill>
                  <pic:spPr>
                    <a:xfrm>
                      <a:off x="0" y="0"/>
                      <a:ext cx="5244695" cy="8399049"/>
                    </a:xfrm>
                    <a:prstGeom prst="rect">
                      <a:avLst/>
                    </a:prstGeom>
                  </pic:spPr>
                </pic:pic>
              </a:graphicData>
            </a:graphic>
          </wp:anchor>
        </w:drawing>
      </w:r>
      <w:r>
        <w:rPr>
          <w:spacing w:val="3"/>
          <w:sz w:val="30"/>
        </w:rPr>
        <w:t>附件 </w:t>
      </w:r>
      <w:r>
        <w:rPr>
          <w:rFonts w:ascii="Times New Roman" w:eastAsia="Times New Roman"/>
          <w:b/>
          <w:sz w:val="30"/>
        </w:rPr>
        <w:t>2</w:t>
      </w:r>
      <w:r>
        <w:rPr>
          <w:rFonts w:ascii="Times New Roman" w:eastAsia="Times New Roman"/>
          <w:b/>
          <w:spacing w:val="46"/>
          <w:sz w:val="30"/>
        </w:rPr>
        <w:t> </w:t>
      </w:r>
      <w:r>
        <w:rPr>
          <w:sz w:val="30"/>
        </w:rPr>
        <w:t>环评批复</w:t>
      </w:r>
    </w:p>
    <w:p>
      <w:pPr>
        <w:spacing w:after="0" w:line="240" w:lineRule="auto"/>
        <w:jc w:val="left"/>
        <w:rPr>
          <w:sz w:val="30"/>
        </w:rPr>
        <w:sectPr>
          <w:pgSz w:w="11910" w:h="17580"/>
          <w:pgMar w:header="877" w:footer="1146" w:top="1380" w:bottom="1340" w:left="1300" w:right="800"/>
        </w:sectPr>
      </w:pPr>
    </w:p>
    <w:p>
      <w:pPr>
        <w:pStyle w:val="BodyText"/>
        <w:spacing w:before="1"/>
        <w:rPr>
          <w:rFonts w:ascii="Times New Roman"/>
          <w:sz w:val="10"/>
        </w:rPr>
      </w:pPr>
    </w:p>
    <w:p>
      <w:pPr>
        <w:pStyle w:val="BodyText"/>
        <w:ind w:left="497"/>
        <w:rPr>
          <w:rFonts w:ascii="Times New Roman"/>
          <w:sz w:val="20"/>
        </w:rPr>
      </w:pPr>
      <w:r>
        <w:rPr>
          <w:rFonts w:ascii="Times New Roman"/>
          <w:sz w:val="20"/>
        </w:rPr>
        <w:drawing>
          <wp:inline distT="0" distB="0" distL="0" distR="0">
            <wp:extent cx="5254775" cy="8209025"/>
            <wp:effectExtent l="0" t="0" r="0" b="0"/>
            <wp:docPr id="33" name="image17.jpeg" descr=""/>
            <wp:cNvGraphicFramePr>
              <a:graphicFrameLocks noChangeAspect="1"/>
            </wp:cNvGraphicFramePr>
            <a:graphic>
              <a:graphicData uri="http://schemas.openxmlformats.org/drawingml/2006/picture">
                <pic:pic>
                  <pic:nvPicPr>
                    <pic:cNvPr id="34" name="image17.jpeg"/>
                    <pic:cNvPicPr/>
                  </pic:nvPicPr>
                  <pic:blipFill>
                    <a:blip r:embed="rId27" cstate="print"/>
                    <a:stretch>
                      <a:fillRect/>
                    </a:stretch>
                  </pic:blipFill>
                  <pic:spPr>
                    <a:xfrm>
                      <a:off x="0" y="0"/>
                      <a:ext cx="5254775" cy="8209025"/>
                    </a:xfrm>
                    <a:prstGeom prst="rect">
                      <a:avLst/>
                    </a:prstGeom>
                  </pic:spPr>
                </pic:pic>
              </a:graphicData>
            </a:graphic>
          </wp:inline>
        </w:drawing>
      </w:r>
      <w:r>
        <w:rPr>
          <w:rFonts w:ascii="Times New Roman"/>
          <w:sz w:val="20"/>
        </w:rPr>
      </w:r>
    </w:p>
    <w:p>
      <w:pPr>
        <w:spacing w:after="0"/>
        <w:rPr>
          <w:rFonts w:ascii="Times New Roman"/>
          <w:sz w:val="20"/>
        </w:rPr>
        <w:sectPr>
          <w:pgSz w:w="11910" w:h="17580"/>
          <w:pgMar w:header="877" w:footer="1146" w:top="1380" w:bottom="1340" w:left="1300" w:right="800"/>
        </w:sectPr>
      </w:pPr>
    </w:p>
    <w:p>
      <w:pPr>
        <w:pStyle w:val="BodyText"/>
        <w:spacing w:before="3"/>
        <w:rPr>
          <w:rFonts w:ascii="Times New Roman"/>
          <w:sz w:val="6"/>
        </w:rPr>
      </w:pPr>
    </w:p>
    <w:p>
      <w:pPr>
        <w:pStyle w:val="BodyText"/>
        <w:ind w:left="497"/>
        <w:rPr>
          <w:rFonts w:ascii="Times New Roman"/>
          <w:sz w:val="20"/>
        </w:rPr>
      </w:pPr>
      <w:r>
        <w:rPr>
          <w:rFonts w:ascii="Times New Roman"/>
          <w:sz w:val="20"/>
        </w:rPr>
        <w:drawing>
          <wp:inline distT="0" distB="0" distL="0" distR="0">
            <wp:extent cx="5260266" cy="8272367"/>
            <wp:effectExtent l="0" t="0" r="0" b="0"/>
            <wp:docPr id="35" name="image18.jpeg" descr=""/>
            <wp:cNvGraphicFramePr>
              <a:graphicFrameLocks noChangeAspect="1"/>
            </wp:cNvGraphicFramePr>
            <a:graphic>
              <a:graphicData uri="http://schemas.openxmlformats.org/drawingml/2006/picture">
                <pic:pic>
                  <pic:nvPicPr>
                    <pic:cNvPr id="36" name="image18.jpeg"/>
                    <pic:cNvPicPr/>
                  </pic:nvPicPr>
                  <pic:blipFill>
                    <a:blip r:embed="rId28" cstate="print"/>
                    <a:stretch>
                      <a:fillRect/>
                    </a:stretch>
                  </pic:blipFill>
                  <pic:spPr>
                    <a:xfrm>
                      <a:off x="0" y="0"/>
                      <a:ext cx="5260266" cy="8272367"/>
                    </a:xfrm>
                    <a:prstGeom prst="rect">
                      <a:avLst/>
                    </a:prstGeom>
                  </pic:spPr>
                </pic:pic>
              </a:graphicData>
            </a:graphic>
          </wp:inline>
        </w:drawing>
      </w:r>
      <w:r>
        <w:rPr>
          <w:rFonts w:ascii="Times New Roman"/>
          <w:sz w:val="20"/>
        </w:rPr>
      </w:r>
    </w:p>
    <w:p>
      <w:pPr>
        <w:spacing w:after="0"/>
        <w:rPr>
          <w:rFonts w:ascii="Times New Roman"/>
          <w:sz w:val="20"/>
        </w:rPr>
        <w:sectPr>
          <w:pgSz w:w="11910" w:h="17580"/>
          <w:pgMar w:header="877" w:footer="1146" w:top="1380" w:bottom="1340" w:left="1300" w:right="800"/>
        </w:sectPr>
      </w:pPr>
    </w:p>
    <w:p>
      <w:pPr>
        <w:pStyle w:val="BodyText"/>
        <w:rPr>
          <w:rFonts w:ascii="Times New Roman"/>
          <w:sz w:val="20"/>
        </w:rPr>
      </w:pPr>
    </w:p>
    <w:p>
      <w:pPr>
        <w:pStyle w:val="BodyText"/>
        <w:rPr>
          <w:rFonts w:ascii="Times New Roman"/>
          <w:sz w:val="20"/>
        </w:rPr>
      </w:pPr>
    </w:p>
    <w:p>
      <w:pPr>
        <w:pStyle w:val="BodyText"/>
        <w:rPr>
          <w:rFonts w:ascii="Times New Roman"/>
          <w:sz w:val="18"/>
        </w:rPr>
      </w:pPr>
    </w:p>
    <w:p>
      <w:pPr>
        <w:pStyle w:val="Heading2"/>
        <w:numPr>
          <w:ilvl w:val="1"/>
          <w:numId w:val="2"/>
        </w:numPr>
        <w:tabs>
          <w:tab w:pos="960" w:val="left" w:leader="none"/>
          <w:tab w:pos="961" w:val="left" w:leader="none"/>
        </w:tabs>
        <w:spacing w:line="560" w:lineRule="exact" w:before="0" w:after="0"/>
        <w:ind w:left="960" w:right="0" w:hanging="840"/>
        <w:jc w:val="left"/>
      </w:pPr>
      <w:r>
        <w:rPr/>
        <w:drawing>
          <wp:anchor distT="0" distB="0" distL="0" distR="0" allowOverlap="1" layoutInCell="1" locked="0" behindDoc="1" simplePos="0" relativeHeight="268435295">
            <wp:simplePos x="0" y="0"/>
            <wp:positionH relativeFrom="page">
              <wp:posOffset>914400</wp:posOffset>
            </wp:positionH>
            <wp:positionV relativeFrom="paragraph">
              <wp:posOffset>438330</wp:posOffset>
            </wp:positionV>
            <wp:extent cx="6393689" cy="4053840"/>
            <wp:effectExtent l="0" t="0" r="0" b="0"/>
            <wp:wrapTopAndBottom/>
            <wp:docPr id="37" name="image19.jpeg" descr=""/>
            <wp:cNvGraphicFramePr>
              <a:graphicFrameLocks noChangeAspect="1"/>
            </wp:cNvGraphicFramePr>
            <a:graphic>
              <a:graphicData uri="http://schemas.openxmlformats.org/drawingml/2006/picture">
                <pic:pic>
                  <pic:nvPicPr>
                    <pic:cNvPr id="38" name="image19.jpeg"/>
                    <pic:cNvPicPr/>
                  </pic:nvPicPr>
                  <pic:blipFill>
                    <a:blip r:embed="rId31" cstate="print"/>
                    <a:stretch>
                      <a:fillRect/>
                    </a:stretch>
                  </pic:blipFill>
                  <pic:spPr>
                    <a:xfrm>
                      <a:off x="0" y="0"/>
                      <a:ext cx="6393689" cy="4053840"/>
                    </a:xfrm>
                    <a:prstGeom prst="rect">
                      <a:avLst/>
                    </a:prstGeom>
                  </pic:spPr>
                </pic:pic>
              </a:graphicData>
            </a:graphic>
          </wp:anchor>
        </w:drawing>
      </w:r>
      <w:r>
        <w:rPr>
          <w:spacing w:val="3"/>
        </w:rPr>
        <w:t>附件 </w:t>
      </w:r>
      <w:r>
        <w:rPr>
          <w:rFonts w:ascii="Times New Roman" w:eastAsia="Times New Roman"/>
          <w:b/>
        </w:rPr>
        <w:t>3</w:t>
      </w:r>
      <w:r>
        <w:rPr>
          <w:rFonts w:ascii="Times New Roman" w:eastAsia="Times New Roman"/>
          <w:b/>
          <w:spacing w:val="46"/>
        </w:rPr>
        <w:t> </w:t>
      </w:r>
      <w:r>
        <w:rPr/>
        <w:t>工程规划许可证</w:t>
      </w:r>
    </w:p>
    <w:p>
      <w:pPr>
        <w:spacing w:after="0" w:line="560" w:lineRule="exact"/>
        <w:jc w:val="left"/>
        <w:sectPr>
          <w:headerReference w:type="default" r:id="rId29"/>
          <w:footerReference w:type="default" r:id="rId30"/>
          <w:pgSz w:w="17580" w:h="11910" w:orient="landscape"/>
          <w:pgMar w:header="877" w:footer="863" w:top="1180" w:bottom="1060" w:left="1320" w:right="2520"/>
          <w:pgNumType w:start="35"/>
        </w:sectPr>
      </w:pPr>
    </w:p>
    <w:p>
      <w:pPr>
        <w:pStyle w:val="BodyText"/>
        <w:rPr>
          <w:sz w:val="20"/>
        </w:rPr>
      </w:pPr>
    </w:p>
    <w:p>
      <w:pPr>
        <w:pStyle w:val="BodyText"/>
        <w:spacing w:before="10"/>
        <w:rPr>
          <w:sz w:val="11"/>
        </w:rPr>
      </w:pPr>
    </w:p>
    <w:p>
      <w:pPr>
        <w:pStyle w:val="ListParagraph"/>
        <w:numPr>
          <w:ilvl w:val="1"/>
          <w:numId w:val="2"/>
        </w:numPr>
        <w:tabs>
          <w:tab w:pos="960" w:val="left" w:leader="none"/>
          <w:tab w:pos="961" w:val="left" w:leader="none"/>
        </w:tabs>
        <w:spacing w:line="560" w:lineRule="exact" w:before="0" w:after="0"/>
        <w:ind w:left="960" w:right="0" w:hanging="840"/>
        <w:jc w:val="left"/>
        <w:rPr>
          <w:sz w:val="30"/>
        </w:rPr>
      </w:pPr>
      <w:r>
        <w:rPr>
          <w:spacing w:val="3"/>
          <w:sz w:val="30"/>
        </w:rPr>
        <w:t>附件 </w:t>
      </w:r>
      <w:r>
        <w:rPr>
          <w:rFonts w:ascii="Times New Roman" w:eastAsia="Times New Roman"/>
          <w:b/>
          <w:sz w:val="30"/>
        </w:rPr>
        <w:t>4</w:t>
      </w:r>
      <w:r>
        <w:rPr>
          <w:rFonts w:ascii="Times New Roman" w:eastAsia="Times New Roman"/>
          <w:b/>
          <w:spacing w:val="46"/>
          <w:sz w:val="30"/>
        </w:rPr>
        <w:t> </w:t>
      </w:r>
      <w:r>
        <w:rPr>
          <w:sz w:val="30"/>
        </w:rPr>
        <w:t>工程施工许可证</w:t>
      </w:r>
    </w:p>
    <w:p>
      <w:pPr>
        <w:spacing w:after="0" w:line="560" w:lineRule="exact"/>
        <w:jc w:val="left"/>
        <w:rPr>
          <w:sz w:val="30"/>
        </w:rPr>
        <w:sectPr>
          <w:pgSz w:w="17580" w:h="11910" w:orient="landscape"/>
          <w:pgMar w:header="877" w:footer="863" w:top="1180" w:bottom="1060" w:left="1320" w:right="2520"/>
        </w:sectPr>
      </w:pPr>
    </w:p>
    <w:p>
      <w:pPr>
        <w:pStyle w:val="BodyText"/>
        <w:spacing w:before="4"/>
        <w:rPr>
          <w:rFonts w:ascii="Times New Roman"/>
          <w:sz w:val="17"/>
        </w:rPr>
      </w:pPr>
      <w:r>
        <w:rPr/>
        <w:pict>
          <v:shape style="position:absolute;margin-left:308.929993pt;margin-top:542.156006pt;width:220.7pt;height:10pt;mso-position-horizontal-relative:page;mso-position-vertical-relative:page;z-index:-90424" type="#_x0000_t202" filled="false" stroked="false">
            <v:textbox inset="0,0,0,0">
              <w:txbxContent>
                <w:p>
                  <w:pPr>
                    <w:spacing w:line="199" w:lineRule="exact" w:before="0"/>
                    <w:ind w:left="0" w:right="0" w:firstLine="0"/>
                    <w:jc w:val="left"/>
                    <w:rPr>
                      <w:sz w:val="18"/>
                    </w:rPr>
                  </w:pPr>
                  <w:r>
                    <w:rPr>
                      <w:sz w:val="18"/>
                    </w:rPr>
                    <w:t>宁波华茂教育文化投资有限公司 </w:t>
                  </w:r>
                  <w:r>
                    <w:rPr>
                      <w:rFonts w:ascii="Times New Roman" w:eastAsia="Times New Roman"/>
                      <w:sz w:val="18"/>
                    </w:rPr>
                    <w:t>37 </w:t>
                  </w:r>
                  <w:r>
                    <w:rPr>
                      <w:sz w:val="18"/>
                    </w:rPr>
                    <w:t>东钱湖旅游度假区连</w:t>
                  </w:r>
                </w:p>
              </w:txbxContent>
            </v:textbox>
            <w10:wrap type="none"/>
          </v:shape>
        </w:pict>
      </w:r>
      <w:r>
        <w:rPr/>
        <w:drawing>
          <wp:anchor distT="0" distB="0" distL="0" distR="0" allowOverlap="1" layoutInCell="1" locked="0" behindDoc="0" simplePos="0" relativeHeight="1936">
            <wp:simplePos x="0" y="0"/>
            <wp:positionH relativeFrom="page">
              <wp:posOffset>0</wp:posOffset>
            </wp:positionH>
            <wp:positionV relativeFrom="page">
              <wp:posOffset>2441702</wp:posOffset>
            </wp:positionV>
            <wp:extent cx="6667946" cy="4466654"/>
            <wp:effectExtent l="0" t="0" r="0" b="0"/>
            <wp:wrapNone/>
            <wp:docPr id="39" name="image20.jpeg" descr=""/>
            <wp:cNvGraphicFramePr>
              <a:graphicFrameLocks noChangeAspect="1"/>
            </wp:cNvGraphicFramePr>
            <a:graphic>
              <a:graphicData uri="http://schemas.openxmlformats.org/drawingml/2006/picture">
                <pic:pic>
                  <pic:nvPicPr>
                    <pic:cNvPr id="40" name="image20.jpeg"/>
                    <pic:cNvPicPr/>
                  </pic:nvPicPr>
                  <pic:blipFill>
                    <a:blip r:embed="rId33" cstate="print"/>
                    <a:stretch>
                      <a:fillRect/>
                    </a:stretch>
                  </pic:blipFill>
                  <pic:spPr>
                    <a:xfrm>
                      <a:off x="0" y="0"/>
                      <a:ext cx="6667946" cy="4466654"/>
                    </a:xfrm>
                    <a:prstGeom prst="rect">
                      <a:avLst/>
                    </a:prstGeom>
                  </pic:spPr>
                </pic:pic>
              </a:graphicData>
            </a:graphic>
          </wp:anchor>
        </w:drawing>
      </w:r>
    </w:p>
    <w:p>
      <w:pPr>
        <w:spacing w:after="0"/>
        <w:rPr>
          <w:rFonts w:ascii="Times New Roman"/>
          <w:sz w:val="17"/>
        </w:rPr>
        <w:sectPr>
          <w:footerReference w:type="default" r:id="rId32"/>
          <w:pgSz w:w="17580" w:h="11910" w:orient="landscape"/>
          <w:pgMar w:footer="863" w:header="877" w:top="1180" w:bottom="1060" w:left="1320" w:right="2520"/>
        </w:sectPr>
      </w:pPr>
    </w:p>
    <w:p>
      <w:pPr>
        <w:pStyle w:val="BodyText"/>
        <w:spacing w:before="4"/>
        <w:rPr>
          <w:rFonts w:ascii="Times New Roman"/>
          <w:sz w:val="17"/>
        </w:rPr>
      </w:pPr>
    </w:p>
    <w:p>
      <w:pPr>
        <w:spacing w:after="0"/>
        <w:rPr>
          <w:rFonts w:ascii="Times New Roman"/>
          <w:sz w:val="17"/>
        </w:rPr>
        <w:sectPr>
          <w:footerReference w:type="default" r:id="rId34"/>
          <w:pgSz w:w="17580" w:h="11910" w:orient="landscape"/>
          <w:pgMar w:footer="863" w:header="877" w:top="1180" w:bottom="1060" w:left="1320" w:right="2520"/>
        </w:sectPr>
      </w:pPr>
    </w:p>
    <w:p>
      <w:pPr>
        <w:pStyle w:val="ListParagraph"/>
        <w:numPr>
          <w:ilvl w:val="1"/>
          <w:numId w:val="2"/>
        </w:numPr>
        <w:tabs>
          <w:tab w:pos="957" w:val="left" w:leader="none"/>
          <w:tab w:pos="958" w:val="left" w:leader="none"/>
        </w:tabs>
        <w:spacing w:line="499" w:lineRule="exact" w:before="0" w:after="0"/>
        <w:ind w:left="958" w:right="0" w:hanging="840"/>
        <w:jc w:val="left"/>
        <w:rPr>
          <w:sz w:val="30"/>
        </w:rPr>
      </w:pPr>
      <w:r>
        <w:rPr>
          <w:spacing w:val="3"/>
          <w:sz w:val="30"/>
        </w:rPr>
        <w:t>附件 </w:t>
      </w:r>
      <w:r>
        <w:rPr>
          <w:rFonts w:ascii="Times New Roman" w:eastAsia="Times New Roman"/>
          <w:b/>
          <w:sz w:val="30"/>
        </w:rPr>
        <w:t>6</w:t>
      </w:r>
      <w:r>
        <w:rPr>
          <w:rFonts w:ascii="Times New Roman" w:eastAsia="Times New Roman"/>
          <w:b/>
          <w:spacing w:val="46"/>
          <w:sz w:val="30"/>
        </w:rPr>
        <w:t> </w:t>
      </w:r>
      <w:r>
        <w:rPr>
          <w:sz w:val="30"/>
        </w:rPr>
        <w:t>监测方案</w:t>
      </w:r>
    </w:p>
    <w:p>
      <w:pPr>
        <w:pStyle w:val="Heading3"/>
        <w:numPr>
          <w:ilvl w:val="0"/>
          <w:numId w:val="3"/>
        </w:numPr>
        <w:tabs>
          <w:tab w:pos="838" w:val="left" w:leader="none"/>
        </w:tabs>
        <w:spacing w:line="459" w:lineRule="exact" w:before="0" w:after="0"/>
        <w:ind w:left="838" w:right="0" w:hanging="720"/>
        <w:jc w:val="left"/>
      </w:pPr>
      <w:r>
        <w:rPr/>
        <w:t>监测布点</w:t>
      </w:r>
    </w:p>
    <w:p>
      <w:pPr>
        <w:pStyle w:val="BodyText"/>
        <w:spacing w:before="10"/>
        <w:rPr>
          <w:sz w:val="3"/>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
        <w:gridCol w:w="994"/>
        <w:gridCol w:w="3829"/>
        <w:gridCol w:w="2825"/>
      </w:tblGrid>
      <w:tr>
        <w:trPr>
          <w:trHeight w:val="683" w:hRule="atLeast"/>
        </w:trPr>
        <w:tc>
          <w:tcPr>
            <w:tcW w:w="454" w:type="dxa"/>
          </w:tcPr>
          <w:p>
            <w:pPr>
              <w:pStyle w:val="TableParagraph"/>
              <w:spacing w:line="360" w:lineRule="exact"/>
              <w:ind w:left="119"/>
              <w:rPr>
                <w:sz w:val="21"/>
              </w:rPr>
            </w:pPr>
            <w:r>
              <w:rPr>
                <w:w w:val="100"/>
                <w:sz w:val="21"/>
              </w:rPr>
              <w:t>序</w:t>
            </w:r>
          </w:p>
          <w:p>
            <w:pPr>
              <w:pStyle w:val="TableParagraph"/>
              <w:spacing w:line="303" w:lineRule="exact"/>
              <w:ind w:left="119"/>
              <w:rPr>
                <w:sz w:val="21"/>
              </w:rPr>
            </w:pPr>
            <w:r>
              <w:rPr>
                <w:w w:val="100"/>
                <w:sz w:val="21"/>
              </w:rPr>
              <w:t>号</w:t>
            </w:r>
          </w:p>
        </w:tc>
        <w:tc>
          <w:tcPr>
            <w:tcW w:w="994" w:type="dxa"/>
          </w:tcPr>
          <w:p>
            <w:pPr>
              <w:pStyle w:val="TableParagraph"/>
              <w:spacing w:line="360" w:lineRule="exact"/>
              <w:ind w:left="159" w:right="151"/>
              <w:jc w:val="center"/>
              <w:rPr>
                <w:sz w:val="21"/>
              </w:rPr>
            </w:pPr>
            <w:r>
              <w:rPr>
                <w:sz w:val="21"/>
              </w:rPr>
              <w:t>监测点</w:t>
            </w:r>
          </w:p>
          <w:p>
            <w:pPr>
              <w:pStyle w:val="TableParagraph"/>
              <w:spacing w:line="303" w:lineRule="exact"/>
              <w:ind w:left="159" w:right="151"/>
              <w:jc w:val="center"/>
              <w:rPr>
                <w:sz w:val="21"/>
              </w:rPr>
            </w:pPr>
            <w:r>
              <w:rPr>
                <w:sz w:val="21"/>
              </w:rPr>
              <w:t>编号</w:t>
            </w:r>
          </w:p>
        </w:tc>
        <w:tc>
          <w:tcPr>
            <w:tcW w:w="3829" w:type="dxa"/>
          </w:tcPr>
          <w:p>
            <w:pPr>
              <w:pStyle w:val="TableParagraph"/>
              <w:spacing w:before="137"/>
              <w:ind w:left="1368" w:right="1358"/>
              <w:jc w:val="center"/>
              <w:rPr>
                <w:sz w:val="21"/>
              </w:rPr>
            </w:pPr>
            <w:r>
              <w:rPr>
                <w:sz w:val="21"/>
              </w:rPr>
              <w:t>位置</w:t>
            </w:r>
          </w:p>
        </w:tc>
        <w:tc>
          <w:tcPr>
            <w:tcW w:w="2825" w:type="dxa"/>
          </w:tcPr>
          <w:p>
            <w:pPr>
              <w:pStyle w:val="TableParagraph"/>
              <w:spacing w:before="137"/>
              <w:ind w:left="971" w:right="964"/>
              <w:jc w:val="center"/>
              <w:rPr>
                <w:sz w:val="21"/>
              </w:rPr>
            </w:pPr>
            <w:r>
              <w:rPr>
                <w:sz w:val="21"/>
              </w:rPr>
              <w:t>监测项目</w:t>
            </w:r>
          </w:p>
        </w:tc>
      </w:tr>
      <w:tr>
        <w:trPr>
          <w:trHeight w:val="371" w:hRule="atLeast"/>
        </w:trPr>
        <w:tc>
          <w:tcPr>
            <w:tcW w:w="8102" w:type="dxa"/>
            <w:gridSpan w:val="4"/>
          </w:tcPr>
          <w:p>
            <w:pPr>
              <w:pStyle w:val="TableParagraph"/>
              <w:spacing w:line="352" w:lineRule="exact"/>
              <w:ind w:left="3612" w:right="3604"/>
              <w:jc w:val="center"/>
              <w:rPr>
                <w:sz w:val="21"/>
              </w:rPr>
            </w:pPr>
            <w:r>
              <w:rPr>
                <w:sz w:val="21"/>
              </w:rPr>
              <w:t>场界 </w:t>
            </w:r>
            <w:r>
              <w:rPr>
                <w:rFonts w:ascii="Times New Roman" w:eastAsia="Times New Roman"/>
                <w:sz w:val="21"/>
              </w:rPr>
              <w:t>4 </w:t>
            </w:r>
            <w:r>
              <w:rPr>
                <w:sz w:val="21"/>
              </w:rPr>
              <w:t>侧</w:t>
            </w:r>
          </w:p>
        </w:tc>
      </w:tr>
      <w:tr>
        <w:trPr>
          <w:trHeight w:val="371" w:hRule="atLeast"/>
        </w:trPr>
        <w:tc>
          <w:tcPr>
            <w:tcW w:w="454" w:type="dxa"/>
          </w:tcPr>
          <w:p>
            <w:pPr>
              <w:pStyle w:val="TableParagraph"/>
              <w:spacing w:before="94"/>
              <w:ind w:right="163"/>
              <w:jc w:val="right"/>
              <w:rPr>
                <w:rFonts w:ascii="Times New Roman"/>
                <w:sz w:val="21"/>
              </w:rPr>
            </w:pPr>
            <w:r>
              <w:rPr>
                <w:rFonts w:ascii="Times New Roman"/>
                <w:w w:val="100"/>
                <w:sz w:val="21"/>
              </w:rPr>
              <w:t>1</w:t>
            </w:r>
          </w:p>
        </w:tc>
        <w:tc>
          <w:tcPr>
            <w:tcW w:w="994" w:type="dxa"/>
          </w:tcPr>
          <w:p>
            <w:pPr>
              <w:pStyle w:val="TableParagraph"/>
              <w:spacing w:line="352" w:lineRule="exact"/>
              <w:ind w:left="159" w:right="151"/>
              <w:jc w:val="center"/>
              <w:rPr>
                <w:sz w:val="21"/>
              </w:rPr>
            </w:pPr>
            <w:r>
              <w:rPr>
                <w:rFonts w:ascii="Times New Roman" w:eastAsia="Times New Roman"/>
                <w:sz w:val="21"/>
              </w:rPr>
              <w:t>1 </w:t>
            </w:r>
            <w:r>
              <w:rPr>
                <w:sz w:val="21"/>
              </w:rPr>
              <w:t>号点</w:t>
            </w:r>
          </w:p>
        </w:tc>
        <w:tc>
          <w:tcPr>
            <w:tcW w:w="3829" w:type="dxa"/>
          </w:tcPr>
          <w:p>
            <w:pPr>
              <w:pStyle w:val="TableParagraph"/>
              <w:spacing w:line="352" w:lineRule="exact"/>
              <w:ind w:left="1368" w:right="1360"/>
              <w:jc w:val="center"/>
              <w:rPr>
                <w:sz w:val="21"/>
              </w:rPr>
            </w:pPr>
            <w:r>
              <w:rPr>
                <w:sz w:val="21"/>
              </w:rPr>
              <w:t>项目西北侧</w:t>
            </w:r>
          </w:p>
        </w:tc>
        <w:tc>
          <w:tcPr>
            <w:tcW w:w="2825" w:type="dxa"/>
          </w:tcPr>
          <w:p>
            <w:pPr>
              <w:pStyle w:val="TableParagraph"/>
              <w:spacing w:line="352" w:lineRule="exact"/>
              <w:ind w:left="971" w:right="964"/>
              <w:jc w:val="center"/>
              <w:rPr>
                <w:sz w:val="21"/>
              </w:rPr>
            </w:pPr>
            <w:r>
              <w:rPr>
                <w:sz w:val="21"/>
              </w:rPr>
              <w:t>场界噪声</w:t>
            </w:r>
          </w:p>
        </w:tc>
      </w:tr>
      <w:tr>
        <w:trPr>
          <w:trHeight w:val="371" w:hRule="atLeast"/>
        </w:trPr>
        <w:tc>
          <w:tcPr>
            <w:tcW w:w="454" w:type="dxa"/>
          </w:tcPr>
          <w:p>
            <w:pPr>
              <w:pStyle w:val="TableParagraph"/>
              <w:spacing w:before="94"/>
              <w:ind w:right="163"/>
              <w:jc w:val="right"/>
              <w:rPr>
                <w:rFonts w:ascii="Times New Roman"/>
                <w:sz w:val="21"/>
              </w:rPr>
            </w:pPr>
            <w:r>
              <w:rPr>
                <w:rFonts w:ascii="Times New Roman"/>
                <w:w w:val="100"/>
                <w:sz w:val="21"/>
              </w:rPr>
              <w:t>2</w:t>
            </w:r>
          </w:p>
        </w:tc>
        <w:tc>
          <w:tcPr>
            <w:tcW w:w="994" w:type="dxa"/>
          </w:tcPr>
          <w:p>
            <w:pPr>
              <w:pStyle w:val="TableParagraph"/>
              <w:spacing w:line="352" w:lineRule="exact"/>
              <w:ind w:left="159" w:right="151"/>
              <w:jc w:val="center"/>
              <w:rPr>
                <w:sz w:val="21"/>
              </w:rPr>
            </w:pPr>
            <w:r>
              <w:rPr>
                <w:rFonts w:ascii="Times New Roman" w:eastAsia="Times New Roman"/>
                <w:sz w:val="21"/>
              </w:rPr>
              <w:t>2 </w:t>
            </w:r>
            <w:r>
              <w:rPr>
                <w:sz w:val="21"/>
              </w:rPr>
              <w:t>号点</w:t>
            </w:r>
          </w:p>
        </w:tc>
        <w:tc>
          <w:tcPr>
            <w:tcW w:w="3829" w:type="dxa"/>
          </w:tcPr>
          <w:p>
            <w:pPr>
              <w:pStyle w:val="TableParagraph"/>
              <w:spacing w:line="352" w:lineRule="exact"/>
              <w:ind w:left="1368" w:right="1360"/>
              <w:jc w:val="center"/>
              <w:rPr>
                <w:sz w:val="21"/>
              </w:rPr>
            </w:pPr>
            <w:r>
              <w:rPr>
                <w:sz w:val="21"/>
              </w:rPr>
              <w:t>项目东北侧</w:t>
            </w:r>
          </w:p>
        </w:tc>
        <w:tc>
          <w:tcPr>
            <w:tcW w:w="2825" w:type="dxa"/>
          </w:tcPr>
          <w:p>
            <w:pPr>
              <w:pStyle w:val="TableParagraph"/>
              <w:spacing w:line="352" w:lineRule="exact"/>
              <w:ind w:left="971" w:right="964"/>
              <w:jc w:val="center"/>
              <w:rPr>
                <w:sz w:val="21"/>
              </w:rPr>
            </w:pPr>
            <w:r>
              <w:rPr>
                <w:sz w:val="21"/>
              </w:rPr>
              <w:t>场界噪声</w:t>
            </w:r>
          </w:p>
        </w:tc>
      </w:tr>
      <w:tr>
        <w:trPr>
          <w:trHeight w:val="371" w:hRule="atLeast"/>
        </w:trPr>
        <w:tc>
          <w:tcPr>
            <w:tcW w:w="454" w:type="dxa"/>
          </w:tcPr>
          <w:p>
            <w:pPr>
              <w:pStyle w:val="TableParagraph"/>
              <w:spacing w:before="94"/>
              <w:ind w:right="163"/>
              <w:jc w:val="right"/>
              <w:rPr>
                <w:rFonts w:ascii="Times New Roman"/>
                <w:sz w:val="21"/>
              </w:rPr>
            </w:pPr>
            <w:r>
              <w:rPr>
                <w:rFonts w:ascii="Times New Roman"/>
                <w:w w:val="100"/>
                <w:sz w:val="21"/>
              </w:rPr>
              <w:t>3</w:t>
            </w:r>
          </w:p>
        </w:tc>
        <w:tc>
          <w:tcPr>
            <w:tcW w:w="994" w:type="dxa"/>
          </w:tcPr>
          <w:p>
            <w:pPr>
              <w:pStyle w:val="TableParagraph"/>
              <w:spacing w:line="352" w:lineRule="exact"/>
              <w:ind w:left="159" w:right="151"/>
              <w:jc w:val="center"/>
              <w:rPr>
                <w:sz w:val="21"/>
              </w:rPr>
            </w:pPr>
            <w:r>
              <w:rPr>
                <w:rFonts w:ascii="Times New Roman" w:eastAsia="Times New Roman"/>
                <w:sz w:val="21"/>
              </w:rPr>
              <w:t>3 </w:t>
            </w:r>
            <w:r>
              <w:rPr>
                <w:sz w:val="21"/>
              </w:rPr>
              <w:t>号点</w:t>
            </w:r>
          </w:p>
        </w:tc>
        <w:tc>
          <w:tcPr>
            <w:tcW w:w="3829" w:type="dxa"/>
          </w:tcPr>
          <w:p>
            <w:pPr>
              <w:pStyle w:val="TableParagraph"/>
              <w:spacing w:line="352" w:lineRule="exact"/>
              <w:ind w:left="1368" w:right="1360"/>
              <w:jc w:val="center"/>
              <w:rPr>
                <w:sz w:val="21"/>
              </w:rPr>
            </w:pPr>
            <w:r>
              <w:rPr>
                <w:sz w:val="21"/>
              </w:rPr>
              <w:t>项目东南侧</w:t>
            </w:r>
          </w:p>
        </w:tc>
        <w:tc>
          <w:tcPr>
            <w:tcW w:w="2825" w:type="dxa"/>
          </w:tcPr>
          <w:p>
            <w:pPr>
              <w:pStyle w:val="TableParagraph"/>
              <w:spacing w:line="352" w:lineRule="exact"/>
              <w:ind w:left="971" w:right="964"/>
              <w:jc w:val="center"/>
              <w:rPr>
                <w:sz w:val="21"/>
              </w:rPr>
            </w:pPr>
            <w:r>
              <w:rPr>
                <w:sz w:val="21"/>
              </w:rPr>
              <w:t>场界噪声</w:t>
            </w:r>
          </w:p>
        </w:tc>
      </w:tr>
      <w:tr>
        <w:trPr>
          <w:trHeight w:val="374" w:hRule="atLeast"/>
        </w:trPr>
        <w:tc>
          <w:tcPr>
            <w:tcW w:w="454" w:type="dxa"/>
          </w:tcPr>
          <w:p>
            <w:pPr>
              <w:pStyle w:val="TableParagraph"/>
              <w:spacing w:before="96"/>
              <w:ind w:right="163"/>
              <w:jc w:val="right"/>
              <w:rPr>
                <w:rFonts w:ascii="Times New Roman"/>
                <w:sz w:val="21"/>
              </w:rPr>
            </w:pPr>
            <w:r>
              <w:rPr>
                <w:rFonts w:ascii="Times New Roman"/>
                <w:w w:val="100"/>
                <w:sz w:val="21"/>
              </w:rPr>
              <w:t>4</w:t>
            </w:r>
          </w:p>
        </w:tc>
        <w:tc>
          <w:tcPr>
            <w:tcW w:w="994" w:type="dxa"/>
          </w:tcPr>
          <w:p>
            <w:pPr>
              <w:pStyle w:val="TableParagraph"/>
              <w:spacing w:line="354" w:lineRule="exact"/>
              <w:ind w:left="159" w:right="151"/>
              <w:jc w:val="center"/>
              <w:rPr>
                <w:sz w:val="21"/>
              </w:rPr>
            </w:pPr>
            <w:r>
              <w:rPr>
                <w:rFonts w:ascii="Times New Roman" w:eastAsia="Times New Roman"/>
                <w:sz w:val="21"/>
              </w:rPr>
              <w:t>4 </w:t>
            </w:r>
            <w:r>
              <w:rPr>
                <w:sz w:val="21"/>
              </w:rPr>
              <w:t>号点</w:t>
            </w:r>
          </w:p>
        </w:tc>
        <w:tc>
          <w:tcPr>
            <w:tcW w:w="3829" w:type="dxa"/>
          </w:tcPr>
          <w:p>
            <w:pPr>
              <w:pStyle w:val="TableParagraph"/>
              <w:spacing w:line="354" w:lineRule="exact"/>
              <w:ind w:left="1368" w:right="1360"/>
              <w:jc w:val="center"/>
              <w:rPr>
                <w:sz w:val="21"/>
              </w:rPr>
            </w:pPr>
            <w:r>
              <w:rPr>
                <w:sz w:val="21"/>
              </w:rPr>
              <w:t>项目西南侧</w:t>
            </w:r>
          </w:p>
        </w:tc>
        <w:tc>
          <w:tcPr>
            <w:tcW w:w="2825" w:type="dxa"/>
          </w:tcPr>
          <w:p>
            <w:pPr>
              <w:pStyle w:val="TableParagraph"/>
              <w:spacing w:line="354" w:lineRule="exact"/>
              <w:ind w:left="971" w:right="964"/>
              <w:jc w:val="center"/>
              <w:rPr>
                <w:sz w:val="21"/>
              </w:rPr>
            </w:pPr>
            <w:r>
              <w:rPr>
                <w:sz w:val="21"/>
              </w:rPr>
              <w:t>场界噪声</w:t>
            </w:r>
          </w:p>
        </w:tc>
      </w:tr>
    </w:tbl>
    <w:p>
      <w:pPr>
        <w:pStyle w:val="ListParagraph"/>
        <w:numPr>
          <w:ilvl w:val="0"/>
          <w:numId w:val="3"/>
        </w:numPr>
        <w:tabs>
          <w:tab w:pos="838" w:val="left" w:leader="none"/>
        </w:tabs>
        <w:spacing w:line="453" w:lineRule="exact" w:before="0" w:after="0"/>
        <w:ind w:left="838" w:right="0" w:hanging="720"/>
        <w:jc w:val="left"/>
        <w:rPr>
          <w:sz w:val="24"/>
        </w:rPr>
      </w:pPr>
      <w:r>
        <w:rPr>
          <w:sz w:val="24"/>
        </w:rPr>
        <w:t>监测项目</w:t>
      </w:r>
    </w:p>
    <w:p>
      <w:pPr>
        <w:spacing w:line="468" w:lineRule="exact" w:before="0"/>
        <w:ind w:left="837" w:right="0" w:firstLine="0"/>
        <w:jc w:val="left"/>
        <w:rPr>
          <w:sz w:val="24"/>
        </w:rPr>
      </w:pPr>
      <w:r>
        <w:rPr>
          <w:sz w:val="24"/>
        </w:rPr>
        <w:t>噪声。</w:t>
      </w:r>
    </w:p>
    <w:p>
      <w:pPr>
        <w:pStyle w:val="ListParagraph"/>
        <w:numPr>
          <w:ilvl w:val="0"/>
          <w:numId w:val="3"/>
        </w:numPr>
        <w:tabs>
          <w:tab w:pos="838" w:val="left" w:leader="none"/>
        </w:tabs>
        <w:spacing w:line="468" w:lineRule="exact" w:before="0" w:after="0"/>
        <w:ind w:left="838" w:right="0" w:hanging="720"/>
        <w:jc w:val="left"/>
        <w:rPr>
          <w:sz w:val="24"/>
        </w:rPr>
      </w:pPr>
      <w:r>
        <w:rPr>
          <w:sz w:val="24"/>
        </w:rPr>
        <w:t>监测时间及频次</w:t>
      </w:r>
    </w:p>
    <w:p>
      <w:pPr>
        <w:spacing w:line="468" w:lineRule="exact" w:before="0"/>
        <w:ind w:left="837" w:right="0" w:firstLine="0"/>
        <w:jc w:val="left"/>
        <w:rPr>
          <w:sz w:val="24"/>
        </w:rPr>
      </w:pPr>
      <w:r>
        <w:rPr>
          <w:sz w:val="24"/>
        </w:rPr>
        <w:t>连续采样 </w:t>
      </w:r>
      <w:r>
        <w:rPr>
          <w:rFonts w:ascii="Times New Roman" w:eastAsia="Times New Roman"/>
          <w:sz w:val="24"/>
        </w:rPr>
        <w:t>2 </w:t>
      </w:r>
      <w:r>
        <w:rPr>
          <w:sz w:val="24"/>
        </w:rPr>
        <w:t>天，每天监测 </w:t>
      </w:r>
      <w:r>
        <w:rPr>
          <w:rFonts w:ascii="Times New Roman" w:eastAsia="Times New Roman"/>
          <w:sz w:val="24"/>
        </w:rPr>
        <w:t>2 </w:t>
      </w:r>
      <w:r>
        <w:rPr>
          <w:sz w:val="24"/>
        </w:rPr>
        <w:t>次：昼、夜各 </w:t>
      </w:r>
      <w:r>
        <w:rPr>
          <w:rFonts w:ascii="Times New Roman" w:eastAsia="Times New Roman"/>
          <w:sz w:val="24"/>
        </w:rPr>
        <w:t>1 </w:t>
      </w:r>
      <w:r>
        <w:rPr>
          <w:sz w:val="24"/>
        </w:rPr>
        <w:t>次。</w:t>
      </w:r>
    </w:p>
    <w:p>
      <w:pPr>
        <w:spacing w:line="468" w:lineRule="exact" w:before="0"/>
        <w:ind w:left="837" w:right="0" w:firstLine="0"/>
        <w:jc w:val="left"/>
        <w:rPr>
          <w:sz w:val="24"/>
        </w:rPr>
      </w:pPr>
      <w:r>
        <w:rPr>
          <w:sz w:val="24"/>
        </w:rPr>
        <w:t>监测时同步观测风向、风速、气温、气压等常规气象参数。</w:t>
      </w:r>
    </w:p>
    <w:p>
      <w:pPr>
        <w:pStyle w:val="ListParagraph"/>
        <w:numPr>
          <w:ilvl w:val="0"/>
          <w:numId w:val="3"/>
        </w:numPr>
        <w:tabs>
          <w:tab w:pos="838" w:val="left" w:leader="none"/>
        </w:tabs>
        <w:spacing w:line="468" w:lineRule="exact" w:before="0" w:after="0"/>
        <w:ind w:left="838" w:right="0" w:hanging="720"/>
        <w:jc w:val="left"/>
        <w:rPr>
          <w:sz w:val="24"/>
        </w:rPr>
      </w:pPr>
      <w:r>
        <w:rPr>
          <w:sz w:val="24"/>
        </w:rPr>
        <w:t>监测方法</w:t>
      </w:r>
    </w:p>
    <w:p>
      <w:pPr>
        <w:spacing w:line="468" w:lineRule="exact" w:before="0"/>
        <w:ind w:left="837" w:right="0" w:firstLine="0"/>
        <w:jc w:val="left"/>
        <w:rPr>
          <w:sz w:val="24"/>
        </w:rPr>
      </w:pPr>
      <w:r>
        <w:rPr>
          <w:sz w:val="24"/>
        </w:rPr>
        <w:t>按相关技术规范。</w:t>
      </w:r>
    </w:p>
    <w:p>
      <w:pPr>
        <w:pStyle w:val="ListParagraph"/>
        <w:numPr>
          <w:ilvl w:val="0"/>
          <w:numId w:val="3"/>
        </w:numPr>
        <w:tabs>
          <w:tab w:pos="838" w:val="left" w:leader="none"/>
        </w:tabs>
        <w:spacing w:line="468" w:lineRule="exact" w:before="0" w:after="0"/>
        <w:ind w:left="838" w:right="0" w:hanging="720"/>
        <w:jc w:val="left"/>
        <w:rPr>
          <w:sz w:val="24"/>
        </w:rPr>
      </w:pPr>
      <w:r>
        <w:rPr>
          <w:sz w:val="24"/>
        </w:rPr>
        <w:t>执行标准</w:t>
      </w:r>
    </w:p>
    <w:p>
      <w:pPr>
        <w:spacing w:line="220" w:lineRule="auto" w:before="8"/>
        <w:ind w:left="825" w:right="113" w:firstLine="0"/>
        <w:jc w:val="left"/>
        <w:rPr>
          <w:sz w:val="24"/>
        </w:rPr>
      </w:pPr>
      <w:r>
        <w:rPr>
          <w:spacing w:val="-12"/>
          <w:sz w:val="24"/>
        </w:rPr>
        <w:t>场界噪声执行《声环境质量标准</w:t>
      </w:r>
      <w:r>
        <w:rPr>
          <w:spacing w:val="-238"/>
          <w:sz w:val="24"/>
        </w:rPr>
        <w:t>》</w:t>
      </w:r>
      <w:r>
        <w:rPr>
          <w:sz w:val="24"/>
        </w:rPr>
        <w:t>（</w:t>
      </w:r>
      <w:r>
        <w:rPr>
          <w:rFonts w:ascii="Times New Roman" w:hAnsi="Times New Roman" w:eastAsia="Times New Roman"/>
          <w:sz w:val="24"/>
        </w:rPr>
        <w:t>GB</w:t>
      </w:r>
      <w:r>
        <w:rPr>
          <w:rFonts w:ascii="Times New Roman" w:hAnsi="Times New Roman" w:eastAsia="Times New Roman"/>
          <w:spacing w:val="-3"/>
          <w:sz w:val="24"/>
        </w:rPr>
        <w:t> </w:t>
      </w:r>
      <w:r>
        <w:rPr>
          <w:rFonts w:ascii="Times New Roman" w:hAnsi="Times New Roman" w:eastAsia="Times New Roman"/>
          <w:sz w:val="24"/>
        </w:rPr>
        <w:t>3096</w:t>
      </w:r>
      <w:r>
        <w:rPr>
          <w:rFonts w:ascii="Times New Roman" w:hAnsi="Times New Roman" w:eastAsia="Times New Roman"/>
          <w:spacing w:val="-1"/>
          <w:sz w:val="24"/>
        </w:rPr>
        <w:t>-</w:t>
      </w:r>
      <w:r>
        <w:rPr>
          <w:rFonts w:ascii="Times New Roman" w:hAnsi="Times New Roman" w:eastAsia="Times New Roman"/>
          <w:sz w:val="24"/>
        </w:rPr>
        <w:t>2</w:t>
      </w:r>
      <w:r>
        <w:rPr>
          <w:rFonts w:ascii="Times New Roman" w:hAnsi="Times New Roman" w:eastAsia="Times New Roman"/>
          <w:spacing w:val="2"/>
          <w:sz w:val="24"/>
        </w:rPr>
        <w:t>0</w:t>
      </w:r>
      <w:r>
        <w:rPr>
          <w:rFonts w:ascii="Times New Roman" w:hAnsi="Times New Roman" w:eastAsia="Times New Roman"/>
          <w:sz w:val="24"/>
        </w:rPr>
        <w:t>08</w:t>
      </w:r>
      <w:r>
        <w:rPr>
          <w:spacing w:val="-118"/>
          <w:sz w:val="24"/>
        </w:rPr>
        <w:t>）</w:t>
      </w:r>
      <w:r>
        <w:rPr>
          <w:rFonts w:ascii="Times New Roman" w:hAnsi="Times New Roman" w:eastAsia="Times New Roman"/>
          <w:sz w:val="24"/>
        </w:rPr>
        <w:t>1 </w:t>
      </w:r>
      <w:r>
        <w:rPr>
          <w:spacing w:val="-40"/>
          <w:sz w:val="24"/>
        </w:rPr>
        <w:t>类标准</w:t>
      </w:r>
      <w:r>
        <w:rPr>
          <w:sz w:val="24"/>
        </w:rPr>
        <w:t>（昼间</w:t>
      </w:r>
      <w:r>
        <w:rPr>
          <w:rFonts w:ascii="Times New Roman" w:hAnsi="Times New Roman" w:eastAsia="Times New Roman"/>
          <w:sz w:val="24"/>
        </w:rPr>
        <w:t>≤55</w:t>
      </w:r>
      <w:r>
        <w:rPr>
          <w:rFonts w:ascii="Times New Roman" w:hAnsi="Times New Roman" w:eastAsia="Times New Roman"/>
          <w:spacing w:val="-3"/>
          <w:sz w:val="24"/>
        </w:rPr>
        <w:t>d</w:t>
      </w:r>
      <w:r>
        <w:rPr>
          <w:rFonts w:ascii="Times New Roman" w:hAnsi="Times New Roman" w:eastAsia="Times New Roman"/>
          <w:spacing w:val="-2"/>
          <w:sz w:val="24"/>
        </w:rPr>
        <w:t>B</w:t>
      </w:r>
      <w:r>
        <w:rPr>
          <w:rFonts w:ascii="Times New Roman" w:hAnsi="Times New Roman" w:eastAsia="Times New Roman"/>
          <w:spacing w:val="-1"/>
          <w:sz w:val="24"/>
        </w:rPr>
        <w:t>A</w:t>
      </w:r>
      <w:r>
        <w:rPr>
          <w:sz w:val="24"/>
        </w:rPr>
        <w:t>，夜间</w:t>
      </w:r>
      <w:r>
        <w:rPr>
          <w:rFonts w:ascii="Times New Roman" w:hAnsi="Times New Roman" w:eastAsia="Times New Roman"/>
          <w:sz w:val="24"/>
        </w:rPr>
        <w:t>≤45d</w:t>
      </w:r>
      <w:r>
        <w:rPr>
          <w:rFonts w:ascii="Times New Roman" w:hAnsi="Times New Roman" w:eastAsia="Times New Roman"/>
          <w:spacing w:val="-2"/>
          <w:sz w:val="24"/>
        </w:rPr>
        <w:t>B</w:t>
      </w:r>
      <w:r>
        <w:rPr>
          <w:rFonts w:ascii="Times New Roman" w:hAnsi="Times New Roman" w:eastAsia="Times New Roman"/>
          <w:spacing w:val="-1"/>
          <w:sz w:val="24"/>
        </w:rPr>
        <w:t>A</w:t>
      </w:r>
      <w:r>
        <w:rPr>
          <w:spacing w:val="-120"/>
          <w:sz w:val="24"/>
        </w:rPr>
        <w:t>）；</w:t>
      </w:r>
    </w:p>
    <w:p>
      <w:pPr>
        <w:spacing w:after="0" w:line="220" w:lineRule="auto"/>
        <w:jc w:val="left"/>
        <w:rPr>
          <w:sz w:val="24"/>
        </w:rPr>
        <w:sectPr>
          <w:headerReference w:type="default" r:id="rId35"/>
          <w:footerReference w:type="default" r:id="rId36"/>
          <w:pgSz w:w="11910" w:h="17580"/>
          <w:pgMar w:header="877" w:footer="1146" w:top="1500" w:bottom="1340" w:left="1680" w:right="1680"/>
          <w:pgNumType w:start="39"/>
        </w:sectPr>
      </w:pPr>
    </w:p>
    <w:p>
      <w:pPr>
        <w:pStyle w:val="ListParagraph"/>
        <w:numPr>
          <w:ilvl w:val="1"/>
          <w:numId w:val="2"/>
        </w:numPr>
        <w:tabs>
          <w:tab w:pos="957" w:val="left" w:leader="none"/>
          <w:tab w:pos="958" w:val="left" w:leader="none"/>
        </w:tabs>
        <w:spacing w:line="549" w:lineRule="exact" w:before="0" w:after="0"/>
        <w:ind w:left="958" w:right="0" w:hanging="840"/>
        <w:jc w:val="left"/>
        <w:rPr>
          <w:sz w:val="30"/>
        </w:rPr>
      </w:pPr>
      <w:r>
        <w:rPr>
          <w:spacing w:val="3"/>
          <w:sz w:val="30"/>
        </w:rPr>
        <w:t>附件 </w:t>
      </w:r>
      <w:r>
        <w:rPr>
          <w:rFonts w:ascii="Times New Roman" w:eastAsia="Times New Roman"/>
          <w:b/>
          <w:sz w:val="30"/>
        </w:rPr>
        <w:t>7</w:t>
      </w:r>
      <w:r>
        <w:rPr>
          <w:rFonts w:ascii="Times New Roman" w:eastAsia="Times New Roman"/>
          <w:b/>
          <w:spacing w:val="46"/>
          <w:sz w:val="30"/>
        </w:rPr>
        <w:t> </w:t>
      </w:r>
      <w:r>
        <w:rPr>
          <w:sz w:val="30"/>
        </w:rPr>
        <w:t>监测报告</w:t>
      </w:r>
    </w:p>
    <w:p>
      <w:pPr>
        <w:pStyle w:val="BodyText"/>
        <w:spacing w:before="18"/>
        <w:rPr>
          <w:sz w:val="23"/>
        </w:rPr>
      </w:pPr>
      <w:r>
        <w:rPr/>
        <w:drawing>
          <wp:anchor distT="0" distB="0" distL="0" distR="0" allowOverlap="1" layoutInCell="1" locked="0" behindDoc="1" simplePos="0" relativeHeight="268435367">
            <wp:simplePos x="0" y="0"/>
            <wp:positionH relativeFrom="page">
              <wp:posOffset>1523179</wp:posOffset>
            </wp:positionH>
            <wp:positionV relativeFrom="paragraph">
              <wp:posOffset>346392</wp:posOffset>
            </wp:positionV>
            <wp:extent cx="4883096" cy="6802850"/>
            <wp:effectExtent l="0" t="0" r="0" b="0"/>
            <wp:wrapTopAndBottom/>
            <wp:docPr id="41" name="image21.jpeg" descr=""/>
            <wp:cNvGraphicFramePr>
              <a:graphicFrameLocks noChangeAspect="1"/>
            </wp:cNvGraphicFramePr>
            <a:graphic>
              <a:graphicData uri="http://schemas.openxmlformats.org/drawingml/2006/picture">
                <pic:pic>
                  <pic:nvPicPr>
                    <pic:cNvPr id="42" name="image21.jpeg"/>
                    <pic:cNvPicPr/>
                  </pic:nvPicPr>
                  <pic:blipFill>
                    <a:blip r:embed="rId37" cstate="print"/>
                    <a:stretch>
                      <a:fillRect/>
                    </a:stretch>
                  </pic:blipFill>
                  <pic:spPr>
                    <a:xfrm>
                      <a:off x="0" y="0"/>
                      <a:ext cx="4883096" cy="6802850"/>
                    </a:xfrm>
                    <a:prstGeom prst="rect">
                      <a:avLst/>
                    </a:prstGeom>
                  </pic:spPr>
                </pic:pic>
              </a:graphicData>
            </a:graphic>
          </wp:anchor>
        </w:drawing>
      </w:r>
    </w:p>
    <w:p>
      <w:pPr>
        <w:spacing w:after="0"/>
        <w:rPr>
          <w:sz w:val="23"/>
        </w:rPr>
        <w:sectPr>
          <w:pgSz w:w="11910" w:h="17580"/>
          <w:pgMar w:header="877" w:footer="1146" w:top="1500" w:bottom="134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after="1"/>
        <w:rPr>
          <w:rFonts w:ascii="Times New Roman"/>
          <w:sz w:val="20"/>
        </w:rPr>
      </w:pPr>
    </w:p>
    <w:p>
      <w:pPr>
        <w:pStyle w:val="BodyText"/>
        <w:ind w:left="1198"/>
        <w:rPr>
          <w:rFonts w:ascii="Times New Roman"/>
          <w:sz w:val="20"/>
        </w:rPr>
      </w:pPr>
      <w:r>
        <w:rPr>
          <w:rFonts w:ascii="Times New Roman"/>
          <w:sz w:val="20"/>
        </w:rPr>
        <w:drawing>
          <wp:inline distT="0" distB="0" distL="0" distR="0">
            <wp:extent cx="4578657" cy="5219319"/>
            <wp:effectExtent l="0" t="0" r="0" b="0"/>
            <wp:docPr id="43" name="image22.jpeg" descr=""/>
            <wp:cNvGraphicFramePr>
              <a:graphicFrameLocks noChangeAspect="1"/>
            </wp:cNvGraphicFramePr>
            <a:graphic>
              <a:graphicData uri="http://schemas.openxmlformats.org/drawingml/2006/picture">
                <pic:pic>
                  <pic:nvPicPr>
                    <pic:cNvPr id="44" name="image22.jpeg"/>
                    <pic:cNvPicPr/>
                  </pic:nvPicPr>
                  <pic:blipFill>
                    <a:blip r:embed="rId38" cstate="print"/>
                    <a:stretch>
                      <a:fillRect/>
                    </a:stretch>
                  </pic:blipFill>
                  <pic:spPr>
                    <a:xfrm>
                      <a:off x="0" y="0"/>
                      <a:ext cx="4578657" cy="5219319"/>
                    </a:xfrm>
                    <a:prstGeom prst="rect">
                      <a:avLst/>
                    </a:prstGeom>
                  </pic:spPr>
                </pic:pic>
              </a:graphicData>
            </a:graphic>
          </wp:inline>
        </w:drawing>
      </w:r>
      <w:r>
        <w:rPr>
          <w:rFonts w:ascii="Times New Roman"/>
          <w:sz w:val="20"/>
        </w:rPr>
      </w:r>
    </w:p>
    <w:p>
      <w:pPr>
        <w:spacing w:after="0"/>
        <w:rPr>
          <w:rFonts w:ascii="Times New Roman"/>
          <w:sz w:val="20"/>
        </w:rPr>
        <w:sectPr>
          <w:pgSz w:w="11910" w:h="17580"/>
          <w:pgMar w:header="877" w:footer="1146" w:top="1500" w:bottom="1340" w:left="1680" w:right="1680"/>
        </w:sectPr>
      </w:pPr>
    </w:p>
    <w:p>
      <w:pPr>
        <w:pStyle w:val="BodyText"/>
        <w:rPr>
          <w:rFonts w:ascii="Times New Roman"/>
          <w:sz w:val="20"/>
        </w:rPr>
      </w:pPr>
    </w:p>
    <w:p>
      <w:pPr>
        <w:pStyle w:val="BodyText"/>
        <w:spacing w:before="5"/>
        <w:rPr>
          <w:rFonts w:ascii="Times New Roman"/>
          <w:sz w:val="22"/>
        </w:rPr>
      </w:pPr>
    </w:p>
    <w:p>
      <w:pPr>
        <w:pStyle w:val="BodyText"/>
        <w:ind w:left="436"/>
        <w:rPr>
          <w:rFonts w:ascii="Times New Roman"/>
          <w:sz w:val="20"/>
        </w:rPr>
      </w:pPr>
      <w:r>
        <w:rPr>
          <w:rFonts w:ascii="Times New Roman"/>
          <w:sz w:val="20"/>
        </w:rPr>
        <w:drawing>
          <wp:inline distT="0" distB="0" distL="0" distR="0">
            <wp:extent cx="5065339" cy="5168646"/>
            <wp:effectExtent l="0" t="0" r="0" b="0"/>
            <wp:docPr id="45" name="image23.jpeg" descr=""/>
            <wp:cNvGraphicFramePr>
              <a:graphicFrameLocks noChangeAspect="1"/>
            </wp:cNvGraphicFramePr>
            <a:graphic>
              <a:graphicData uri="http://schemas.openxmlformats.org/drawingml/2006/picture">
                <pic:pic>
                  <pic:nvPicPr>
                    <pic:cNvPr id="46" name="image23.jpeg"/>
                    <pic:cNvPicPr/>
                  </pic:nvPicPr>
                  <pic:blipFill>
                    <a:blip r:embed="rId39" cstate="print"/>
                    <a:stretch>
                      <a:fillRect/>
                    </a:stretch>
                  </pic:blipFill>
                  <pic:spPr>
                    <a:xfrm>
                      <a:off x="0" y="0"/>
                      <a:ext cx="5065339" cy="5168646"/>
                    </a:xfrm>
                    <a:prstGeom prst="rect">
                      <a:avLst/>
                    </a:prstGeom>
                  </pic:spPr>
                </pic:pic>
              </a:graphicData>
            </a:graphic>
          </wp:inline>
        </w:drawing>
      </w:r>
      <w:r>
        <w:rPr>
          <w:rFonts w:ascii="Times New Roman"/>
          <w:sz w:val="20"/>
        </w:rPr>
      </w:r>
    </w:p>
    <w:p>
      <w:pPr>
        <w:spacing w:after="0"/>
        <w:rPr>
          <w:rFonts w:ascii="Times New Roman"/>
          <w:sz w:val="20"/>
        </w:rPr>
        <w:sectPr>
          <w:pgSz w:w="11910" w:h="17580"/>
          <w:pgMar w:header="877" w:footer="1146" w:top="1500" w:bottom="1340" w:left="1680" w:right="1680"/>
        </w:sectPr>
      </w:pPr>
    </w:p>
    <w:p>
      <w:pPr>
        <w:pStyle w:val="BodyText"/>
        <w:rPr>
          <w:rFonts w:ascii="Times New Roman"/>
          <w:sz w:val="20"/>
        </w:rPr>
      </w:pPr>
    </w:p>
    <w:p>
      <w:pPr>
        <w:pStyle w:val="BodyText"/>
        <w:rPr>
          <w:rFonts w:ascii="Times New Roman"/>
          <w:sz w:val="29"/>
        </w:rPr>
      </w:pPr>
    </w:p>
    <w:p>
      <w:pPr>
        <w:pStyle w:val="BodyText"/>
        <w:ind w:left="436"/>
        <w:rPr>
          <w:rFonts w:ascii="Times New Roman"/>
          <w:sz w:val="20"/>
        </w:rPr>
      </w:pPr>
      <w:r>
        <w:rPr>
          <w:rFonts w:ascii="Times New Roman"/>
          <w:sz w:val="20"/>
        </w:rPr>
        <w:drawing>
          <wp:inline distT="0" distB="0" distL="0" distR="0">
            <wp:extent cx="4755456" cy="6891528"/>
            <wp:effectExtent l="0" t="0" r="0" b="0"/>
            <wp:docPr id="47" name="image24.jpeg" descr=""/>
            <wp:cNvGraphicFramePr>
              <a:graphicFrameLocks noChangeAspect="1"/>
            </wp:cNvGraphicFramePr>
            <a:graphic>
              <a:graphicData uri="http://schemas.openxmlformats.org/drawingml/2006/picture">
                <pic:pic>
                  <pic:nvPicPr>
                    <pic:cNvPr id="48" name="image24.jpeg"/>
                    <pic:cNvPicPr/>
                  </pic:nvPicPr>
                  <pic:blipFill>
                    <a:blip r:embed="rId40" cstate="print"/>
                    <a:stretch>
                      <a:fillRect/>
                    </a:stretch>
                  </pic:blipFill>
                  <pic:spPr>
                    <a:xfrm>
                      <a:off x="0" y="0"/>
                      <a:ext cx="4755456" cy="6891528"/>
                    </a:xfrm>
                    <a:prstGeom prst="rect">
                      <a:avLst/>
                    </a:prstGeom>
                  </pic:spPr>
                </pic:pic>
              </a:graphicData>
            </a:graphic>
          </wp:inline>
        </w:drawing>
      </w:r>
      <w:r>
        <w:rPr>
          <w:rFonts w:ascii="Times New Roman"/>
          <w:sz w:val="20"/>
        </w:rPr>
      </w:r>
    </w:p>
    <w:p>
      <w:pPr>
        <w:spacing w:after="0"/>
        <w:rPr>
          <w:rFonts w:ascii="Times New Roman"/>
          <w:sz w:val="20"/>
        </w:rPr>
        <w:sectPr>
          <w:pgSz w:w="11910" w:h="17580"/>
          <w:pgMar w:header="877" w:footer="1146" w:top="1500" w:bottom="134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after="0"/>
        <w:rPr>
          <w:rFonts w:ascii="Times New Roman"/>
          <w:sz w:val="20"/>
        </w:rPr>
        <w:sectPr>
          <w:headerReference w:type="default" r:id="rId41"/>
          <w:footerReference w:type="default" r:id="rId42"/>
          <w:pgSz w:w="16840" w:h="11910" w:orient="landscape"/>
          <w:pgMar w:header="877" w:footer="0" w:top="1180" w:bottom="0" w:left="1320" w:right="2420"/>
        </w:sectPr>
      </w:pPr>
    </w:p>
    <w:p>
      <w:pPr>
        <w:pStyle w:val="Heading2"/>
        <w:numPr>
          <w:ilvl w:val="1"/>
          <w:numId w:val="2"/>
        </w:numPr>
        <w:tabs>
          <w:tab w:pos="960" w:val="left" w:leader="none"/>
          <w:tab w:pos="961" w:val="left" w:leader="none"/>
        </w:tabs>
        <w:spacing w:line="240" w:lineRule="auto" w:before="97" w:after="0"/>
        <w:ind w:left="960" w:right="0" w:hanging="840"/>
        <w:jc w:val="left"/>
      </w:pPr>
      <w:r>
        <w:rPr>
          <w:spacing w:val="3"/>
        </w:rPr>
        <w:t>附图 </w:t>
      </w:r>
      <w:r>
        <w:rPr>
          <w:rFonts w:ascii="Times New Roman" w:eastAsia="Times New Roman"/>
          <w:b/>
        </w:rPr>
        <w:t>1</w:t>
      </w:r>
      <w:r>
        <w:rPr>
          <w:rFonts w:ascii="Times New Roman" w:eastAsia="Times New Roman"/>
          <w:b/>
          <w:spacing w:val="3"/>
        </w:rPr>
        <w:t> </w:t>
      </w:r>
      <w:r>
        <w:rPr/>
        <w:t>地理位置示意图</w:t>
      </w:r>
    </w:p>
    <w:p>
      <w:pPr>
        <w:pStyle w:val="BodyText"/>
        <w:spacing w:before="1"/>
        <w:rPr>
          <w:sz w:val="32"/>
        </w:rPr>
      </w:pPr>
      <w:r>
        <w:rPr/>
        <w:br w:type="column"/>
      </w:r>
      <w:r>
        <w:rPr>
          <w:sz w:val="32"/>
        </w:rPr>
      </w:r>
    </w:p>
    <w:p>
      <w:pPr>
        <w:tabs>
          <w:tab w:pos="7889" w:val="left" w:leader="none"/>
        </w:tabs>
        <w:spacing w:before="0"/>
        <w:ind w:left="119" w:right="0" w:firstLine="0"/>
        <w:jc w:val="left"/>
        <w:rPr>
          <w:sz w:val="21"/>
        </w:rPr>
      </w:pPr>
      <w:r>
        <w:rPr/>
        <w:pict>
          <v:shape style="position:absolute;margin-left:670.200012pt;margin-top:28.374001pt;width:25pt;height:48.5pt;mso-position-horizontal-relative:page;mso-position-vertical-relative:paragraph;z-index:2008" coordorigin="13404,567" coordsize="500,970" path="m13654,926l13588,936,13528,964,13477,1008,13438,1064,13413,1131,13404,1204,13413,1278,13438,1345,13477,1401,13528,1445,13588,1473,13654,1482,13720,1473,13780,1445,13831,1401,13870,1345,13895,1278,13904,1204,13895,1131,13870,1064,13831,1008,13780,964,13720,936,13654,926xm13652,567l13891,1537m13652,567l13413,1537m13652,575l13652,1226m13652,1229l13438,1537m13652,1220l13872,1537e" filled="false" stroked="true" strokeweight=".75pt" strokecolor="#000000">
            <v:path arrowok="t"/>
            <v:stroke dashstyle="solid"/>
            <w10:wrap type="none"/>
          </v:shape>
        </w:pict>
      </w:r>
      <w:r>
        <w:rPr>
          <w:sz w:val="18"/>
        </w:rPr>
        <w:t>宁波华茂教育文化投资有限公司</w:t>
      </w:r>
      <w:r>
        <w:rPr>
          <w:spacing w:val="5"/>
          <w:sz w:val="18"/>
        </w:rPr>
        <w:t> </w:t>
      </w:r>
      <w:r>
        <w:rPr>
          <w:rFonts w:ascii="Times New Roman" w:eastAsia="Times New Roman"/>
          <w:sz w:val="18"/>
        </w:rPr>
        <w:t>44</w:t>
      </w:r>
      <w:r>
        <w:rPr>
          <w:rFonts w:ascii="Times New Roman" w:eastAsia="Times New Roman"/>
          <w:spacing w:val="1"/>
          <w:sz w:val="18"/>
        </w:rPr>
        <w:t> </w:t>
      </w:r>
      <w:r>
        <w:rPr>
          <w:sz w:val="18"/>
        </w:rPr>
        <w:t>东钱湖旅游度假区连</w:t>
      </w:r>
      <w:r>
        <w:rPr>
          <w:spacing w:val="-3"/>
          <w:sz w:val="18"/>
        </w:rPr>
        <w:t>心</w:t>
      </w:r>
      <w:r>
        <w:rPr>
          <w:sz w:val="18"/>
        </w:rPr>
        <w:t>路</w:t>
      </w:r>
      <w:r>
        <w:rPr>
          <w:spacing w:val="5"/>
          <w:sz w:val="18"/>
        </w:rPr>
        <w:t> </w:t>
      </w:r>
      <w:r>
        <w:rPr>
          <w:rFonts w:ascii="Times New Roman" w:eastAsia="Times New Roman"/>
          <w:sz w:val="18"/>
        </w:rPr>
        <w:t>99</w:t>
      </w:r>
      <w:r>
        <w:rPr>
          <w:rFonts w:ascii="Times New Roman" w:eastAsia="Times New Roman"/>
          <w:spacing w:val="1"/>
          <w:sz w:val="18"/>
        </w:rPr>
        <w:t> </w:t>
      </w:r>
      <w:r>
        <w:rPr>
          <w:sz w:val="18"/>
        </w:rPr>
        <w:t>号</w:t>
        <w:tab/>
      </w:r>
      <w:r>
        <w:rPr>
          <w:position w:val="4"/>
          <w:sz w:val="21"/>
        </w:rPr>
        <w:t>北</w:t>
      </w:r>
    </w:p>
    <w:p>
      <w:pPr>
        <w:spacing w:after="0"/>
        <w:jc w:val="left"/>
        <w:rPr>
          <w:sz w:val="21"/>
        </w:rPr>
        <w:sectPr>
          <w:type w:val="continuous"/>
          <w:pgSz w:w="16840" w:h="11910" w:orient="landscape"/>
          <w:pgMar w:top="1580" w:bottom="280" w:left="1320" w:right="2420"/>
          <w:cols w:num="2" w:equalWidth="0">
            <w:col w:w="4012" w:space="357"/>
            <w:col w:w="8731"/>
          </w:cols>
        </w:sectPr>
      </w:pPr>
    </w:p>
    <w:p>
      <w:pPr>
        <w:rPr>
          <w:sz w:val="2"/>
          <w:szCs w:val="2"/>
        </w:rPr>
      </w:pPr>
      <w:r>
        <w:rPr/>
        <w:pict>
          <v:group style="position:absolute;margin-left:89.893997pt;margin-top:120.240005pt;width:643pt;height:370.3pt;mso-position-horizontal-relative:page;mso-position-vertical-relative:page;z-index:1984" coordorigin="1798,2405" coordsize="12860,7406">
            <v:shape style="position:absolute;left:1797;top:2404;width:12860;height:7406" type="#_x0000_t75" stroked="false">
              <v:imagedata r:id="rId43" o:title=""/>
            </v:shape>
            <v:shape style="position:absolute;left:13256;top:4065;width:782;height:203" type="#_x0000_t75" stroked="false">
              <v:imagedata r:id="rId44" o:title=""/>
            </v:shape>
            <w10:wrap type="none"/>
          </v:group>
        </w:pict>
      </w:r>
    </w:p>
    <w:p>
      <w:pPr>
        <w:spacing w:after="0"/>
        <w:rPr>
          <w:sz w:val="2"/>
          <w:szCs w:val="2"/>
        </w:rPr>
        <w:sectPr>
          <w:type w:val="continuous"/>
          <w:pgSz w:w="16840" w:h="11910" w:orient="landscape"/>
          <w:pgMar w:top="1580" w:bottom="280" w:left="1320" w:right="24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
        <w:rPr>
          <w:sz w:val="17"/>
        </w:rPr>
      </w:pPr>
    </w:p>
    <w:p>
      <w:pPr>
        <w:spacing w:line="376" w:lineRule="exact" w:before="0"/>
        <w:ind w:left="4489" w:right="0" w:firstLine="0"/>
        <w:jc w:val="left"/>
        <w:rPr>
          <w:sz w:val="18"/>
        </w:rPr>
      </w:pPr>
      <w:r>
        <w:rPr>
          <w:sz w:val="18"/>
        </w:rPr>
        <w:t>宁波华茂教育文化投资有限公司 </w:t>
      </w:r>
      <w:r>
        <w:rPr>
          <w:rFonts w:ascii="Times New Roman" w:eastAsia="Times New Roman"/>
          <w:sz w:val="18"/>
        </w:rPr>
        <w:t>45 </w:t>
      </w:r>
      <w:r>
        <w:rPr>
          <w:sz w:val="18"/>
        </w:rPr>
        <w:t>东钱湖旅游度假区连心路 </w:t>
      </w:r>
      <w:r>
        <w:rPr>
          <w:rFonts w:ascii="Times New Roman" w:eastAsia="Times New Roman"/>
          <w:sz w:val="18"/>
        </w:rPr>
        <w:t>99 </w:t>
      </w:r>
      <w:r>
        <w:rPr>
          <w:sz w:val="18"/>
        </w:rPr>
        <w:t>号</w:t>
      </w:r>
    </w:p>
    <w:p>
      <w:pPr>
        <w:spacing w:after="0" w:line="376" w:lineRule="exact"/>
        <w:jc w:val="left"/>
        <w:rPr>
          <w:sz w:val="18"/>
        </w:rPr>
        <w:sectPr>
          <w:headerReference w:type="default" r:id="rId45"/>
          <w:footerReference w:type="default" r:id="rId46"/>
          <w:pgSz w:w="16840" w:h="11910" w:orient="landscape"/>
          <w:pgMar w:header="877" w:footer="0" w:top="1180" w:bottom="280" w:left="1320" w:right="2420"/>
        </w:sectPr>
      </w:pPr>
    </w:p>
    <w:p>
      <w:pPr>
        <w:spacing w:line="349" w:lineRule="exact" w:before="0"/>
        <w:ind w:left="514" w:right="0" w:firstLine="0"/>
        <w:jc w:val="left"/>
        <w:rPr>
          <w:sz w:val="18"/>
        </w:rPr>
      </w:pPr>
      <w:r>
        <w:rPr/>
        <w:pict>
          <v:line style="position:absolute;mso-position-horizontal-relative:page;mso-position-vertical-relative:paragraph;z-index:2032" from="88.463997pt,15.640015pt" to="507.093997pt,15.640015pt" stroked="true" strokeweight=".719971pt" strokecolor="#000000">
            <v:stroke dashstyle="solid"/>
            <w10:wrap type="none"/>
          </v:line>
        </w:pict>
      </w:r>
      <w:r>
        <w:rPr>
          <w:sz w:val="18"/>
        </w:rPr>
        <w:t>宁波华茂教育文化投资有限公司东钱湖国际教育论坛项目（博物馆）竣工环境保护验收调查报告</w:t>
      </w:r>
    </w:p>
    <w:p>
      <w:pPr>
        <w:pStyle w:val="BodyText"/>
        <w:spacing w:before="4"/>
        <w:rPr>
          <w:sz w:val="16"/>
        </w:rPr>
      </w:pPr>
    </w:p>
    <w:p>
      <w:pPr>
        <w:pStyle w:val="Heading2"/>
        <w:numPr>
          <w:ilvl w:val="1"/>
          <w:numId w:val="2"/>
        </w:numPr>
        <w:tabs>
          <w:tab w:pos="977" w:val="left" w:leader="none"/>
          <w:tab w:pos="978" w:val="left" w:leader="none"/>
        </w:tabs>
        <w:spacing w:line="432" w:lineRule="exact" w:before="0" w:after="0"/>
        <w:ind w:left="978" w:right="0" w:hanging="840"/>
        <w:jc w:val="left"/>
      </w:pPr>
      <w:r>
        <w:rPr>
          <w:spacing w:val="3"/>
        </w:rPr>
        <w:t>附图 </w:t>
      </w:r>
      <w:r>
        <w:rPr>
          <w:rFonts w:ascii="Times New Roman" w:eastAsia="Times New Roman"/>
          <w:b/>
        </w:rPr>
        <w:t>2</w:t>
      </w:r>
      <w:r>
        <w:rPr>
          <w:rFonts w:ascii="Times New Roman" w:eastAsia="Times New Roman"/>
          <w:b/>
          <w:spacing w:val="46"/>
        </w:rPr>
        <w:t> </w:t>
      </w:r>
      <w:r>
        <w:rPr/>
        <w:t>总平面布置图</w:t>
      </w:r>
    </w:p>
    <w:p>
      <w:pPr>
        <w:pStyle w:val="BodyText"/>
        <w:spacing w:before="5"/>
        <w:rPr>
          <w:sz w:val="29"/>
        </w:rPr>
      </w:pPr>
    </w:p>
    <w:p>
      <w:pPr>
        <w:pStyle w:val="BodyText"/>
        <w:ind w:right="112"/>
        <w:jc w:val="right"/>
      </w:pPr>
      <w:r>
        <w:rPr/>
        <w:drawing>
          <wp:anchor distT="0" distB="0" distL="0" distR="0" allowOverlap="1" layoutInCell="1" locked="0" behindDoc="0" simplePos="0" relativeHeight="2056">
            <wp:simplePos x="0" y="0"/>
            <wp:positionH relativeFrom="page">
              <wp:posOffset>1141094</wp:posOffset>
            </wp:positionH>
            <wp:positionV relativeFrom="paragraph">
              <wp:posOffset>-50292</wp:posOffset>
            </wp:positionV>
            <wp:extent cx="5278755" cy="5831840"/>
            <wp:effectExtent l="0" t="0" r="0" b="0"/>
            <wp:wrapNone/>
            <wp:docPr id="49" name="image27.jpeg" descr=""/>
            <wp:cNvGraphicFramePr>
              <a:graphicFrameLocks noChangeAspect="1"/>
            </wp:cNvGraphicFramePr>
            <a:graphic>
              <a:graphicData uri="http://schemas.openxmlformats.org/drawingml/2006/picture">
                <pic:pic>
                  <pic:nvPicPr>
                    <pic:cNvPr id="50" name="image27.jpeg"/>
                    <pic:cNvPicPr/>
                  </pic:nvPicPr>
                  <pic:blipFill>
                    <a:blip r:embed="rId49" cstate="print"/>
                    <a:stretch>
                      <a:fillRect/>
                    </a:stretch>
                  </pic:blipFill>
                  <pic:spPr>
                    <a:xfrm>
                      <a:off x="0" y="0"/>
                      <a:ext cx="5278755" cy="5831840"/>
                    </a:xfrm>
                    <a:prstGeom prst="rect">
                      <a:avLst/>
                    </a:prstGeom>
                  </pic:spPr>
                </pic:pic>
              </a:graphicData>
            </a:graphic>
          </wp:anchor>
        </w:drawing>
      </w:r>
      <w:r>
        <w:rPr/>
        <w:pict>
          <v:shape style="position:absolute;margin-left:515.099976pt;margin-top:28.389971pt;width:25.1pt;height:51.05pt;mso-position-horizontal-relative:page;mso-position-vertical-relative:paragraph;z-index:2080" coordorigin="10302,568" coordsize="502,1021" path="m10554,927l10488,937,10428,965,10377,1008,10338,1064,10313,1131,10304,1205,10313,1279,10338,1345,10377,1401,10428,1445,10488,1473,10554,1483,10620,1473,10680,1445,10731,1401,10770,1345,10795,1279,10804,1205,10795,1131,10770,1064,10731,1008,10680,965,10620,937,10554,927xm10552,568l10802,1581m10552,568l10302,1581m10552,576l10552,1227m10552,1230l10302,1589m10552,1221l10802,1580e" filled="false" stroked="true" strokeweight=".75pt" strokecolor="#000000">
            <v:path arrowok="t"/>
            <v:stroke dashstyle="solid"/>
            <w10:wrap type="none"/>
          </v:shape>
        </w:pict>
      </w:r>
      <w:r>
        <w:rPr>
          <w:w w:val="100"/>
        </w:rPr>
        <w:t>北</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
        <w:rPr>
          <w:sz w:val="24"/>
        </w:rPr>
      </w:pPr>
    </w:p>
    <w:p>
      <w:pPr>
        <w:spacing w:before="0"/>
        <w:ind w:left="1683" w:right="0" w:firstLine="0"/>
        <w:jc w:val="left"/>
        <w:rPr>
          <w:sz w:val="18"/>
        </w:rPr>
      </w:pPr>
      <w:r>
        <w:rPr>
          <w:sz w:val="18"/>
        </w:rPr>
        <w:t>宁波华茂教育文化投资有限公司 </w:t>
      </w:r>
      <w:r>
        <w:rPr>
          <w:rFonts w:ascii="Times New Roman" w:eastAsia="Times New Roman"/>
          <w:sz w:val="18"/>
        </w:rPr>
        <w:t>46 </w:t>
      </w:r>
      <w:r>
        <w:rPr>
          <w:sz w:val="18"/>
        </w:rPr>
        <w:t>东钱湖旅游度假区连心路 </w:t>
      </w:r>
      <w:r>
        <w:rPr>
          <w:rFonts w:ascii="Times New Roman" w:eastAsia="Times New Roman"/>
          <w:sz w:val="18"/>
        </w:rPr>
        <w:t>99 </w:t>
      </w:r>
      <w:r>
        <w:rPr>
          <w:sz w:val="18"/>
        </w:rPr>
        <w:t>号</w:t>
      </w:r>
    </w:p>
    <w:sectPr>
      <w:headerReference w:type="default" r:id="rId47"/>
      <w:footerReference w:type="default" r:id="rId48"/>
      <w:pgSz w:w="11910" w:h="16840"/>
      <w:pgMar w:header="0" w:footer="0" w:top="780" w:bottom="280" w:left="166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Droid Sans Fallback">
    <w:altName w:val="Droid Sans Fallback"/>
    <w:charset w:val="0"/>
    <w:family w:val="swiss"/>
    <w:pitch w:val="variable"/>
  </w:font>
  <w:font w:name="Noto Sans CJK JP Regular">
    <w:altName w:val="Noto Sans CJK JP Regular"/>
    <w:charset w:val="0"/>
    <w:family w:val="swiss"/>
    <w:pitch w:val="variable"/>
  </w:font>
  <w:font w:name="Noto Sans Mono CJK JP Regular">
    <w:altName w:val="Noto Sans Mono CJK JP Regular"/>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24002pt;margin-top:773.619934pt;width:263.3pt;height:12pt;mso-position-horizontal-relative:page;mso-position-vertical-relative:page;z-index:-91264" type="#_x0000_t202" filled="false" stroked="false">
          <v:textbox inset="0,0,0,0">
            <w:txbxContent>
              <w:p>
                <w:pPr>
                  <w:spacing w:line="239" w:lineRule="exact" w:before="0"/>
                  <w:ind w:left="20" w:right="0" w:firstLine="0"/>
                  <w:jc w:val="left"/>
                  <w:rPr>
                    <w:sz w:val="18"/>
                  </w:rPr>
                </w:pPr>
                <w:r>
                  <w:rPr>
                    <w:sz w:val="18"/>
                  </w:rPr>
                  <w:t>宁波华茂教育文化投资有限公司 </w:t>
                </w:r>
                <w:r>
                  <w:rPr/>
                  <w:fldChar w:fldCharType="begin"/>
                </w:r>
                <w:r>
                  <w:rPr>
                    <w:rFonts w:ascii="Times New Roman" w:eastAsia="Times New Roman"/>
                    <w:sz w:val="18"/>
                  </w:rPr>
                  <w:instrText> PAGE </w:instrText>
                </w:r>
                <w:r>
                  <w:rPr/>
                  <w:fldChar w:fldCharType="separate"/>
                </w:r>
                <w:r>
                  <w:rPr/>
                  <w:t>10</w:t>
                </w:r>
                <w:r>
                  <w:rPr/>
                  <w:fldChar w:fldCharType="end"/>
                </w:r>
                <w:r>
                  <w:rPr>
                    <w:rFonts w:ascii="Times New Roman" w:eastAsia="Times New Roman"/>
                    <w:sz w:val="18"/>
                  </w:rPr>
                  <w:t> </w:t>
                </w:r>
                <w:r>
                  <w:rPr>
                    <w:sz w:val="18"/>
                  </w:rPr>
                  <w:t>东钱湖旅游度假区连心路 </w:t>
                </w:r>
                <w:r>
                  <w:rPr>
                    <w:rFonts w:ascii="Times New Roman" w:eastAsia="Times New Roman"/>
                    <w:sz w:val="18"/>
                  </w:rPr>
                  <w:t>99 </w:t>
                </w:r>
                <w:r>
                  <w:rPr>
                    <w:sz w:val="18"/>
                  </w:rPr>
                  <w:t>号</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3.809998pt;margin-top:773.619934pt;width:263.3pt;height:12pt;mso-position-horizontal-relative:page;mso-position-vertical-relative:page;z-index:-91192" type="#_x0000_t202" filled="false" stroked="false">
          <v:textbox inset="0,0,0,0">
            <w:txbxContent>
              <w:p>
                <w:pPr>
                  <w:spacing w:line="239" w:lineRule="exact" w:before="0"/>
                  <w:ind w:left="20" w:right="0" w:firstLine="0"/>
                  <w:jc w:val="left"/>
                  <w:rPr>
                    <w:sz w:val="18"/>
                  </w:rPr>
                </w:pPr>
                <w:r>
                  <w:rPr>
                    <w:sz w:val="18"/>
                  </w:rPr>
                  <w:t>宁波华茂教育文化投资有限公司 </w:t>
                </w:r>
                <w:r>
                  <w:rPr/>
                  <w:fldChar w:fldCharType="begin"/>
                </w:r>
                <w:r>
                  <w:rPr>
                    <w:rFonts w:ascii="Times New Roman" w:eastAsia="Times New Roman"/>
                    <w:sz w:val="18"/>
                  </w:rPr>
                  <w:instrText> PAGE </w:instrText>
                </w:r>
                <w:r>
                  <w:rPr/>
                  <w:fldChar w:fldCharType="separate"/>
                </w:r>
                <w:r>
                  <w:rPr/>
                  <w:t>19</w:t>
                </w:r>
                <w:r>
                  <w:rPr/>
                  <w:fldChar w:fldCharType="end"/>
                </w:r>
                <w:r>
                  <w:rPr>
                    <w:rFonts w:ascii="Times New Roman" w:eastAsia="Times New Roman"/>
                    <w:sz w:val="18"/>
                  </w:rPr>
                  <w:t> </w:t>
                </w:r>
                <w:r>
                  <w:rPr>
                    <w:sz w:val="18"/>
                  </w:rPr>
                  <w:t>东钱湖旅游度假区连心路 </w:t>
                </w:r>
                <w:r>
                  <w:rPr>
                    <w:rFonts w:ascii="Times New Roman" w:eastAsia="Times New Roman"/>
                    <w:sz w:val="18"/>
                  </w:rPr>
                  <w:t>99 </w:t>
                </w:r>
                <w:r>
                  <w:rPr>
                    <w:sz w:val="18"/>
                  </w:rPr>
                  <w:t>号</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6.179993pt;margin-top:810.555969pt;width:263.3pt;height:12pt;mso-position-horizontal-relative:page;mso-position-vertical-relative:page;z-index:-91120" type="#_x0000_t202" filled="false" stroked="false">
          <v:textbox inset="0,0,0,0">
            <w:txbxContent>
              <w:p>
                <w:pPr>
                  <w:spacing w:line="239" w:lineRule="exact" w:before="0"/>
                  <w:ind w:left="20" w:right="0" w:firstLine="0"/>
                  <w:jc w:val="left"/>
                  <w:rPr>
                    <w:sz w:val="18"/>
                  </w:rPr>
                </w:pPr>
                <w:r>
                  <w:rPr>
                    <w:sz w:val="18"/>
                  </w:rPr>
                  <w:t>宁波华茂教育文化投资有限公司 </w:t>
                </w:r>
                <w:r>
                  <w:rPr/>
                  <w:fldChar w:fldCharType="begin"/>
                </w:r>
                <w:r>
                  <w:rPr>
                    <w:rFonts w:ascii="Times New Roman" w:eastAsia="Times New Roman"/>
                    <w:sz w:val="18"/>
                  </w:rPr>
                  <w:instrText> PAGE </w:instrText>
                </w:r>
                <w:r>
                  <w:rPr/>
                  <w:fldChar w:fldCharType="separate"/>
                </w:r>
                <w:r>
                  <w:rPr/>
                  <w:t>22</w:t>
                </w:r>
                <w:r>
                  <w:rPr/>
                  <w:fldChar w:fldCharType="end"/>
                </w:r>
                <w:r>
                  <w:rPr>
                    <w:rFonts w:ascii="Times New Roman" w:eastAsia="Times New Roman"/>
                    <w:sz w:val="18"/>
                  </w:rPr>
                  <w:t> </w:t>
                </w:r>
                <w:r>
                  <w:rPr>
                    <w:sz w:val="18"/>
                  </w:rPr>
                  <w:t>东钱湖旅游度假区连心路 </w:t>
                </w:r>
                <w:r>
                  <w:rPr>
                    <w:rFonts w:ascii="Times New Roman" w:eastAsia="Times New Roman"/>
                    <w:sz w:val="18"/>
                  </w:rPr>
                  <w:t>99 </w:t>
                </w:r>
                <w:r>
                  <w:rPr>
                    <w:sz w:val="18"/>
                  </w:rPr>
                  <w:t>号</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929993pt;margin-top:541.156006pt;width:263.3pt;height:12pt;mso-position-horizontal-relative:page;mso-position-vertical-relative:page;z-index:-91048" type="#_x0000_t202" filled="false" stroked="false">
          <v:textbox inset="0,0,0,0">
            <w:txbxContent>
              <w:p>
                <w:pPr>
                  <w:spacing w:line="239" w:lineRule="exact" w:before="0"/>
                  <w:ind w:left="20" w:right="0" w:firstLine="0"/>
                  <w:jc w:val="left"/>
                  <w:rPr>
                    <w:sz w:val="18"/>
                  </w:rPr>
                </w:pPr>
                <w:r>
                  <w:rPr>
                    <w:sz w:val="18"/>
                  </w:rPr>
                  <w:t>宁波华茂教育文化投资有限公司 </w:t>
                </w:r>
                <w:r>
                  <w:rPr/>
                  <w:fldChar w:fldCharType="begin"/>
                </w:r>
                <w:r>
                  <w:rPr>
                    <w:rFonts w:ascii="Times New Roman" w:eastAsia="Times New Roman"/>
                    <w:sz w:val="18"/>
                  </w:rPr>
                  <w:instrText> PAGE </w:instrText>
                </w:r>
                <w:r>
                  <w:rPr/>
                  <w:fldChar w:fldCharType="separate"/>
                </w:r>
                <w:r>
                  <w:rPr/>
                  <w:t>35</w:t>
                </w:r>
                <w:r>
                  <w:rPr/>
                  <w:fldChar w:fldCharType="end"/>
                </w:r>
                <w:r>
                  <w:rPr>
                    <w:rFonts w:ascii="Times New Roman" w:eastAsia="Times New Roman"/>
                    <w:sz w:val="18"/>
                  </w:rPr>
                  <w:t> </w:t>
                </w:r>
                <w:r>
                  <w:rPr>
                    <w:sz w:val="18"/>
                  </w:rPr>
                  <w:t>东钱湖旅游度假区连心路 </w:t>
                </w:r>
                <w:r>
                  <w:rPr>
                    <w:rFonts w:ascii="Times New Roman" w:eastAsia="Times New Roman"/>
                    <w:sz w:val="18"/>
                  </w:rPr>
                  <w:t>99 </w:t>
                </w:r>
                <w:r>
                  <w:rPr>
                    <w:sz w:val="18"/>
                  </w:rPr>
                  <w:t>号</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8.609985pt;margin-top:541.156006pt;width:42.6pt;height:12pt;mso-position-horizontal-relative:page;mso-position-vertical-relative:page;z-index:-91024" type="#_x0000_t202" filled="false" stroked="false">
          <v:textbox inset="0,0,0,0">
            <w:txbxContent>
              <w:p>
                <w:pPr>
                  <w:spacing w:line="239" w:lineRule="exact" w:before="0"/>
                  <w:ind w:left="20" w:right="0" w:firstLine="0"/>
                  <w:jc w:val="left"/>
                  <w:rPr>
                    <w:sz w:val="18"/>
                  </w:rPr>
                </w:pPr>
                <w:r>
                  <w:rPr>
                    <w:spacing w:val="-2"/>
                    <w:sz w:val="18"/>
                  </w:rPr>
                  <w:t>心 路 </w:t>
                </w:r>
                <w:r>
                  <w:rPr>
                    <w:rFonts w:ascii="Times New Roman" w:eastAsia="Times New Roman"/>
                    <w:sz w:val="18"/>
                  </w:rPr>
                  <w:t>99</w:t>
                </w:r>
                <w:r>
                  <w:rPr>
                    <w:rFonts w:ascii="Times New Roman" w:eastAsia="Times New Roman"/>
                    <w:spacing w:val="-31"/>
                    <w:sz w:val="18"/>
                  </w:rPr>
                  <w:t> </w:t>
                </w:r>
                <w:r>
                  <w:rPr>
                    <w:sz w:val="18"/>
                  </w:rPr>
                  <w:t>号</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929993pt;margin-top:541.156006pt;width:263.3pt;height:12pt;mso-position-horizontal-relative:page;mso-position-vertical-relative:page;z-index:-91000" type="#_x0000_t202" filled="false" stroked="false">
          <v:textbox inset="0,0,0,0">
            <w:txbxContent>
              <w:p>
                <w:pPr>
                  <w:spacing w:line="239" w:lineRule="exact" w:before="0"/>
                  <w:ind w:left="20" w:right="0" w:firstLine="0"/>
                  <w:jc w:val="left"/>
                  <w:rPr>
                    <w:sz w:val="18"/>
                  </w:rPr>
                </w:pPr>
                <w:r>
                  <w:rPr>
                    <w:sz w:val="18"/>
                  </w:rPr>
                  <w:t>宁波华茂教育文化投资有限公司 </w:t>
                </w:r>
                <w:r>
                  <w:rPr>
                    <w:rFonts w:ascii="Times New Roman" w:eastAsia="Times New Roman"/>
                    <w:sz w:val="18"/>
                  </w:rPr>
                  <w:t>38 </w:t>
                </w:r>
                <w:r>
                  <w:rPr>
                    <w:sz w:val="18"/>
                  </w:rPr>
                  <w:t>东钱湖旅游度假区连心路 </w:t>
                </w:r>
                <w:r>
                  <w:rPr>
                    <w:rFonts w:ascii="Times New Roman" w:eastAsia="Times New Roman"/>
                    <w:sz w:val="18"/>
                  </w:rPr>
                  <w:t>99 </w:t>
                </w:r>
                <w:r>
                  <w:rPr>
                    <w:sz w:val="18"/>
                  </w:rPr>
                  <w:t>号</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6.179993pt;margin-top:810.555969pt;width:263.3pt;height:12pt;mso-position-horizontal-relative:page;mso-position-vertical-relative:page;z-index:-90928" type="#_x0000_t202" filled="false" stroked="false">
          <v:textbox inset="0,0,0,0">
            <w:txbxContent>
              <w:p>
                <w:pPr>
                  <w:spacing w:line="239" w:lineRule="exact" w:before="0"/>
                  <w:ind w:left="20" w:right="0" w:firstLine="0"/>
                  <w:jc w:val="left"/>
                  <w:rPr>
                    <w:sz w:val="18"/>
                  </w:rPr>
                </w:pPr>
                <w:r>
                  <w:rPr>
                    <w:sz w:val="18"/>
                  </w:rPr>
                  <w:t>宁波华茂教育文化投资有限公司 </w:t>
                </w:r>
                <w:r>
                  <w:rPr/>
                  <w:fldChar w:fldCharType="begin"/>
                </w:r>
                <w:r>
                  <w:rPr>
                    <w:rFonts w:ascii="Times New Roman" w:eastAsia="Times New Roman"/>
                    <w:sz w:val="18"/>
                  </w:rPr>
                  <w:instrText> PAGE </w:instrText>
                </w:r>
                <w:r>
                  <w:rPr/>
                  <w:fldChar w:fldCharType="separate"/>
                </w:r>
                <w:r>
                  <w:rPr/>
                  <w:t>39</w:t>
                </w:r>
                <w:r>
                  <w:rPr/>
                  <w:fldChar w:fldCharType="end"/>
                </w:r>
                <w:r>
                  <w:rPr>
                    <w:rFonts w:ascii="Times New Roman" w:eastAsia="Times New Roman"/>
                    <w:sz w:val="18"/>
                  </w:rPr>
                  <w:t> </w:t>
                </w:r>
                <w:r>
                  <w:rPr>
                    <w:sz w:val="18"/>
                  </w:rPr>
                  <w:t>东钱湖旅游度假区连心路 </w:t>
                </w:r>
                <w:r>
                  <w:rPr>
                    <w:rFonts w:ascii="Times New Roman" w:eastAsia="Times New Roman"/>
                    <w:sz w:val="18"/>
                  </w:rPr>
                  <w:t>99 </w:t>
                </w:r>
                <w:r>
                  <w:rPr>
                    <w:sz w:val="18"/>
                  </w:rPr>
                  <w:t>号</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1312" from="88.584pt,55.559982pt" to="506.854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07.620003pt;margin-top:42.865608pt;width:380pt;height:11pt;mso-position-horizontal-relative:page;mso-position-vertical-relative:page;z-index:-91288" type="#_x0000_t202" filled="false" stroked="false">
          <v:textbox inset="0,0,0,0">
            <w:txbxContent>
              <w:p>
                <w:pPr>
                  <w:spacing w:line="220" w:lineRule="exact" w:before="0"/>
                  <w:ind w:left="20" w:right="0" w:firstLine="0"/>
                  <w:jc w:val="left"/>
                  <w:rPr>
                    <w:sz w:val="18"/>
                  </w:rPr>
                </w:pPr>
                <w:r>
                  <w:rPr>
                    <w:sz w:val="18"/>
                  </w:rPr>
                  <w:t>宁波华茂教育文化投资有限公司东钱湖国际教育论坛项目（博物馆）竣工环境保护验收调查报告</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1240" from="70.559998pt,55.559998pt" to="1120.299998pt,55.559998pt" stroked="true" strokeweight=".719971pt" strokecolor="#000000">
          <v:stroke dashstyle="solid"/>
          <w10:wrap type="none"/>
        </v:line>
      </w:pict>
    </w:r>
    <w:r>
      <w:rPr/>
      <w:pict>
        <v:shape style="position:absolute;margin-left:405.369995pt;margin-top:42.865608pt;width:380pt;height:11pt;mso-position-horizontal-relative:page;mso-position-vertical-relative:page;z-index:-91216" type="#_x0000_t202" filled="false" stroked="false">
          <v:textbox inset="0,0,0,0">
            <w:txbxContent>
              <w:p>
                <w:pPr>
                  <w:spacing w:line="220" w:lineRule="exact" w:before="0"/>
                  <w:ind w:left="20" w:right="0" w:firstLine="0"/>
                  <w:jc w:val="left"/>
                  <w:rPr>
                    <w:sz w:val="18"/>
                  </w:rPr>
                </w:pPr>
                <w:r>
                  <w:rPr>
                    <w:sz w:val="18"/>
                  </w:rPr>
                  <w:t>宁波华茂教育文化投资有限公司东钱湖国际教育论坛项目（博物馆）竣工环境保护验收调查报告</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1168" from="88.463997pt,55.56002pt" to="507.093997pt,55.56002pt" stroked="true" strokeweight=".719971pt" strokecolor="#000000">
          <v:stroke dashstyle="solid"/>
          <w10:wrap type="none"/>
        </v:line>
      </w:pict>
    </w:r>
    <w:r>
      <w:rPr/>
      <w:pict>
        <v:shape style="position:absolute;margin-left:107.739998pt;margin-top:42.865631pt;width:380pt;height:11pt;mso-position-horizontal-relative:page;mso-position-vertical-relative:page;z-index:-91144" type="#_x0000_t202" filled="false" stroked="false">
          <v:textbox inset="0,0,0,0">
            <w:txbxContent>
              <w:p>
                <w:pPr>
                  <w:spacing w:line="220" w:lineRule="exact" w:before="0"/>
                  <w:ind w:left="20" w:right="0" w:firstLine="0"/>
                  <w:jc w:val="left"/>
                  <w:rPr>
                    <w:sz w:val="18"/>
                  </w:rPr>
                </w:pPr>
                <w:r>
                  <w:rPr>
                    <w:sz w:val="18"/>
                  </w:rPr>
                  <w:t>宁波华茂教育文化投资有限公司东钱湖国际教育论坛项目（博物馆）竣工环境保护验收调查报告</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1096" from="70.559998pt,55.56002pt" to="808.419998pt,55.56002pt" stroked="true" strokeweight=".719971pt" strokecolor="#000000">
          <v:stroke dashstyle="solid"/>
          <w10:wrap type="none"/>
        </v:line>
      </w:pict>
    </w:r>
    <w:r>
      <w:rPr/>
      <w:pict>
        <v:shape style="position:absolute;margin-left:249.460007pt;margin-top:42.865631pt;width:380pt;height:11pt;mso-position-horizontal-relative:page;mso-position-vertical-relative:page;z-index:-91072" type="#_x0000_t202" filled="false" stroked="false">
          <v:textbox inset="0,0,0,0">
            <w:txbxContent>
              <w:p>
                <w:pPr>
                  <w:spacing w:line="220" w:lineRule="exact" w:before="0"/>
                  <w:ind w:left="20" w:right="0" w:firstLine="0"/>
                  <w:jc w:val="left"/>
                  <w:rPr>
                    <w:sz w:val="18"/>
                  </w:rPr>
                </w:pPr>
                <w:r>
                  <w:rPr>
                    <w:sz w:val="18"/>
                  </w:rPr>
                  <w:t>宁波华茂教育文化投资有限公司东钱湖国际教育论坛项目（博物馆）竣工环境保护验收调查报告</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0976" from="88.463997pt,55.56002pt" to="507.093997pt,55.56002pt" stroked="true" strokeweight=".719971pt" strokecolor="#000000">
          <v:stroke dashstyle="solid"/>
          <w10:wrap type="none"/>
        </v:line>
      </w:pict>
    </w:r>
    <w:r>
      <w:rPr/>
      <w:pict>
        <v:shape style="position:absolute;margin-left:107.739998pt;margin-top:42.865631pt;width:380pt;height:11pt;mso-position-horizontal-relative:page;mso-position-vertical-relative:page;z-index:-90952" type="#_x0000_t202" filled="false" stroked="false">
          <v:textbox inset="0,0,0,0">
            <w:txbxContent>
              <w:p>
                <w:pPr>
                  <w:spacing w:line="220" w:lineRule="exact" w:before="0"/>
                  <w:ind w:left="20" w:right="0" w:firstLine="0"/>
                  <w:jc w:val="left"/>
                  <w:rPr>
                    <w:sz w:val="18"/>
                  </w:rPr>
                </w:pPr>
                <w:r>
                  <w:rPr>
                    <w:sz w:val="18"/>
                  </w:rPr>
                  <w:t>宁波华茂教育文化投资有限公司东钱湖国际教育论坛项目（博物馆）竣工环境保护验收调查报告</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0904" from="70.559998pt,55.56002pt" to="771.479998pt,55.56002pt" stroked="true" strokeweight=".719971pt" strokecolor="#000000">
          <v:stroke dashstyle="solid"/>
          <w10:wrap type="none"/>
        </v:line>
      </w:pict>
    </w:r>
    <w:r>
      <w:rPr/>
      <w:pict>
        <v:shape style="position:absolute;margin-left:230.979996pt;margin-top:42.865631pt;width:380pt;height:11pt;mso-position-horizontal-relative:page;mso-position-vertical-relative:page;z-index:-90880" type="#_x0000_t202" filled="false" stroked="false">
          <v:textbox inset="0,0,0,0">
            <w:txbxContent>
              <w:p>
                <w:pPr>
                  <w:spacing w:line="220" w:lineRule="exact" w:before="0"/>
                  <w:ind w:left="20" w:right="0" w:firstLine="0"/>
                  <w:jc w:val="left"/>
                  <w:rPr>
                    <w:sz w:val="18"/>
                  </w:rPr>
                </w:pPr>
                <w:r>
                  <w:rPr>
                    <w:sz w:val="18"/>
                  </w:rPr>
                  <w:t>宁波华茂教育文化投资有限公司东钱湖国际教育论坛项目（博物馆）竣工环境保护验收调查报告</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0856" from="70.559998pt,55.56002pt" to="771.479998pt,55.56002pt" stroked="true" strokeweight=".719971pt" strokecolor="#000000">
          <v:stroke dashstyle="solid"/>
          <w10:wrap type="none"/>
        </v:line>
      </w:pict>
    </w:r>
    <w:r>
      <w:rPr/>
      <w:pict>
        <v:shape style="position:absolute;margin-left:230.979996pt;margin-top:42.865631pt;width:380pt;height:11pt;mso-position-horizontal-relative:page;mso-position-vertical-relative:page;z-index:-90832" type="#_x0000_t202" filled="false" stroked="false">
          <v:textbox inset="0,0,0,0">
            <w:txbxContent>
              <w:p>
                <w:pPr>
                  <w:spacing w:line="220" w:lineRule="exact" w:before="0"/>
                  <w:ind w:left="20" w:right="0" w:firstLine="0"/>
                  <w:jc w:val="left"/>
                  <w:rPr>
                    <w:sz w:val="18"/>
                  </w:rPr>
                </w:pPr>
                <w:r>
                  <w:rPr>
                    <w:sz w:val="18"/>
                  </w:rPr>
                  <w:t>宁波华茂教育文化投资有限公司东钱湖国际教育论坛项目（博物馆）竣工环境保护验收调查报告</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38" w:hanging="720"/>
        <w:jc w:val="left"/>
      </w:pPr>
      <w:rPr>
        <w:rFonts w:hint="default" w:ascii="Noto Sans CJK JP Regular" w:hAnsi="Noto Sans CJK JP Regular" w:eastAsia="Noto Sans CJK JP Regular" w:cs="Noto Sans CJK JP Regular"/>
        <w:spacing w:val="-1"/>
        <w:w w:val="100"/>
        <w:sz w:val="24"/>
        <w:szCs w:val="24"/>
        <w:lang w:val="zh-cn" w:eastAsia="zh-cn" w:bidi="zh-cn"/>
      </w:rPr>
    </w:lvl>
    <w:lvl w:ilvl="1">
      <w:start w:val="0"/>
      <w:numFmt w:val="bullet"/>
      <w:lvlText w:val="•"/>
      <w:lvlJc w:val="left"/>
      <w:pPr>
        <w:ind w:left="1610" w:hanging="720"/>
      </w:pPr>
      <w:rPr>
        <w:rFonts w:hint="default"/>
        <w:lang w:val="zh-cn" w:eastAsia="zh-cn" w:bidi="zh-cn"/>
      </w:rPr>
    </w:lvl>
    <w:lvl w:ilvl="2">
      <w:start w:val="0"/>
      <w:numFmt w:val="bullet"/>
      <w:lvlText w:val="•"/>
      <w:lvlJc w:val="left"/>
      <w:pPr>
        <w:ind w:left="2381" w:hanging="720"/>
      </w:pPr>
      <w:rPr>
        <w:rFonts w:hint="default"/>
        <w:lang w:val="zh-cn" w:eastAsia="zh-cn" w:bidi="zh-cn"/>
      </w:rPr>
    </w:lvl>
    <w:lvl w:ilvl="3">
      <w:start w:val="0"/>
      <w:numFmt w:val="bullet"/>
      <w:lvlText w:val="•"/>
      <w:lvlJc w:val="left"/>
      <w:pPr>
        <w:ind w:left="3151" w:hanging="720"/>
      </w:pPr>
      <w:rPr>
        <w:rFonts w:hint="default"/>
        <w:lang w:val="zh-cn" w:eastAsia="zh-cn" w:bidi="zh-cn"/>
      </w:rPr>
    </w:lvl>
    <w:lvl w:ilvl="4">
      <w:start w:val="0"/>
      <w:numFmt w:val="bullet"/>
      <w:lvlText w:val="•"/>
      <w:lvlJc w:val="left"/>
      <w:pPr>
        <w:ind w:left="3922" w:hanging="720"/>
      </w:pPr>
      <w:rPr>
        <w:rFonts w:hint="default"/>
        <w:lang w:val="zh-cn" w:eastAsia="zh-cn" w:bidi="zh-cn"/>
      </w:rPr>
    </w:lvl>
    <w:lvl w:ilvl="5">
      <w:start w:val="0"/>
      <w:numFmt w:val="bullet"/>
      <w:lvlText w:val="•"/>
      <w:lvlJc w:val="left"/>
      <w:pPr>
        <w:ind w:left="4693" w:hanging="720"/>
      </w:pPr>
      <w:rPr>
        <w:rFonts w:hint="default"/>
        <w:lang w:val="zh-cn" w:eastAsia="zh-cn" w:bidi="zh-cn"/>
      </w:rPr>
    </w:lvl>
    <w:lvl w:ilvl="6">
      <w:start w:val="0"/>
      <w:numFmt w:val="bullet"/>
      <w:lvlText w:val="•"/>
      <w:lvlJc w:val="left"/>
      <w:pPr>
        <w:ind w:left="5463" w:hanging="720"/>
      </w:pPr>
      <w:rPr>
        <w:rFonts w:hint="default"/>
        <w:lang w:val="zh-cn" w:eastAsia="zh-cn" w:bidi="zh-cn"/>
      </w:rPr>
    </w:lvl>
    <w:lvl w:ilvl="7">
      <w:start w:val="0"/>
      <w:numFmt w:val="bullet"/>
      <w:lvlText w:val="•"/>
      <w:lvlJc w:val="left"/>
      <w:pPr>
        <w:ind w:left="6234" w:hanging="720"/>
      </w:pPr>
      <w:rPr>
        <w:rFonts w:hint="default"/>
        <w:lang w:val="zh-cn" w:eastAsia="zh-cn" w:bidi="zh-cn"/>
      </w:rPr>
    </w:lvl>
    <w:lvl w:ilvl="8">
      <w:start w:val="0"/>
      <w:numFmt w:val="bullet"/>
      <w:lvlText w:val="•"/>
      <w:lvlJc w:val="left"/>
      <w:pPr>
        <w:ind w:left="7005" w:hanging="720"/>
      </w:pPr>
      <w:rPr>
        <w:rFonts w:hint="default"/>
        <w:lang w:val="zh-cn" w:eastAsia="zh-cn" w:bidi="zh-cn"/>
      </w:rPr>
    </w:lvl>
  </w:abstractNum>
  <w:abstractNum w:abstractNumId="1">
    <w:multiLevelType w:val="hybridMultilevel"/>
    <w:lvl w:ilvl="0">
      <w:start w:val="1"/>
      <w:numFmt w:val="decimal"/>
      <w:lvlText w:val="%1"/>
      <w:lvlJc w:val="left"/>
      <w:pPr>
        <w:ind w:left="1020" w:hanging="420"/>
        <w:jc w:val="right"/>
      </w:pPr>
      <w:rPr>
        <w:rFonts w:hint="default" w:ascii="Times New Roman" w:hAnsi="Times New Roman" w:eastAsia="Times New Roman" w:cs="Times New Roman"/>
        <w:b/>
        <w:bCs/>
        <w:w w:val="99"/>
        <w:sz w:val="32"/>
        <w:szCs w:val="32"/>
        <w:lang w:val="zh-cn" w:eastAsia="zh-cn" w:bidi="zh-cn"/>
      </w:rPr>
    </w:lvl>
    <w:lvl w:ilvl="1">
      <w:start w:val="1"/>
      <w:numFmt w:val="decimal"/>
      <w:lvlText w:val="%1.%2"/>
      <w:lvlJc w:val="left"/>
      <w:pPr>
        <w:ind w:left="1338" w:hanging="840"/>
        <w:jc w:val="right"/>
      </w:pPr>
      <w:rPr>
        <w:rFonts w:hint="default" w:ascii="Times New Roman" w:hAnsi="Times New Roman" w:eastAsia="Times New Roman" w:cs="Times New Roman"/>
        <w:b/>
        <w:bCs/>
        <w:spacing w:val="-29"/>
        <w:w w:val="100"/>
        <w:sz w:val="30"/>
        <w:szCs w:val="30"/>
        <w:lang w:val="zh-cn" w:eastAsia="zh-cn" w:bidi="zh-cn"/>
      </w:rPr>
    </w:lvl>
    <w:lvl w:ilvl="2">
      <w:start w:val="0"/>
      <w:numFmt w:val="bullet"/>
      <w:lvlText w:val="•"/>
      <w:lvlJc w:val="left"/>
      <w:pPr>
        <w:ind w:left="2220" w:hanging="840"/>
      </w:pPr>
      <w:rPr>
        <w:rFonts w:hint="default"/>
        <w:lang w:val="zh-cn" w:eastAsia="zh-cn" w:bidi="zh-cn"/>
      </w:rPr>
    </w:lvl>
    <w:lvl w:ilvl="3">
      <w:start w:val="0"/>
      <w:numFmt w:val="bullet"/>
      <w:lvlText w:val="•"/>
      <w:lvlJc w:val="left"/>
      <w:pPr>
        <w:ind w:left="3101" w:hanging="840"/>
      </w:pPr>
      <w:rPr>
        <w:rFonts w:hint="default"/>
        <w:lang w:val="zh-cn" w:eastAsia="zh-cn" w:bidi="zh-cn"/>
      </w:rPr>
    </w:lvl>
    <w:lvl w:ilvl="4">
      <w:start w:val="0"/>
      <w:numFmt w:val="bullet"/>
      <w:lvlText w:val="•"/>
      <w:lvlJc w:val="left"/>
      <w:pPr>
        <w:ind w:left="3982" w:hanging="840"/>
      </w:pPr>
      <w:rPr>
        <w:rFonts w:hint="default"/>
        <w:lang w:val="zh-cn" w:eastAsia="zh-cn" w:bidi="zh-cn"/>
      </w:rPr>
    </w:lvl>
    <w:lvl w:ilvl="5">
      <w:start w:val="0"/>
      <w:numFmt w:val="bullet"/>
      <w:lvlText w:val="•"/>
      <w:lvlJc w:val="left"/>
      <w:pPr>
        <w:ind w:left="4862" w:hanging="840"/>
      </w:pPr>
      <w:rPr>
        <w:rFonts w:hint="default"/>
        <w:lang w:val="zh-cn" w:eastAsia="zh-cn" w:bidi="zh-cn"/>
      </w:rPr>
    </w:lvl>
    <w:lvl w:ilvl="6">
      <w:start w:val="0"/>
      <w:numFmt w:val="bullet"/>
      <w:lvlText w:val="•"/>
      <w:lvlJc w:val="left"/>
      <w:pPr>
        <w:ind w:left="5743" w:hanging="840"/>
      </w:pPr>
      <w:rPr>
        <w:rFonts w:hint="default"/>
        <w:lang w:val="zh-cn" w:eastAsia="zh-cn" w:bidi="zh-cn"/>
      </w:rPr>
    </w:lvl>
    <w:lvl w:ilvl="7">
      <w:start w:val="0"/>
      <w:numFmt w:val="bullet"/>
      <w:lvlText w:val="•"/>
      <w:lvlJc w:val="left"/>
      <w:pPr>
        <w:ind w:left="6624" w:hanging="840"/>
      </w:pPr>
      <w:rPr>
        <w:rFonts w:hint="default"/>
        <w:lang w:val="zh-cn" w:eastAsia="zh-cn" w:bidi="zh-cn"/>
      </w:rPr>
    </w:lvl>
    <w:lvl w:ilvl="8">
      <w:start w:val="0"/>
      <w:numFmt w:val="bullet"/>
      <w:lvlText w:val="•"/>
      <w:lvlJc w:val="left"/>
      <w:pPr>
        <w:ind w:left="7504" w:hanging="840"/>
      </w:pPr>
      <w:rPr>
        <w:rFonts w:hint="default"/>
        <w:lang w:val="zh-cn" w:eastAsia="zh-cn" w:bidi="zh-cn"/>
      </w:rPr>
    </w:lvl>
  </w:abstractNum>
  <w:abstractNum w:abstractNumId="0">
    <w:multiLevelType w:val="hybridMultilevel"/>
    <w:lvl w:ilvl="0">
      <w:start w:val="1"/>
      <w:numFmt w:val="decimal"/>
      <w:lvlText w:val="%1"/>
      <w:lvlJc w:val="left"/>
      <w:pPr>
        <w:ind w:left="1034" w:hanging="420"/>
        <w:jc w:val="left"/>
      </w:pPr>
      <w:rPr>
        <w:rFonts w:hint="default" w:ascii="Times New Roman" w:hAnsi="Times New Roman" w:eastAsia="Times New Roman" w:cs="Times New Roman"/>
        <w:b/>
        <w:bCs/>
        <w:w w:val="100"/>
        <w:sz w:val="24"/>
        <w:szCs w:val="24"/>
        <w:lang w:val="zh-cn" w:eastAsia="zh-cn" w:bidi="zh-cn"/>
      </w:rPr>
    </w:lvl>
    <w:lvl w:ilvl="1">
      <w:start w:val="1"/>
      <w:numFmt w:val="decimal"/>
      <w:lvlText w:val="%1.%2"/>
      <w:lvlJc w:val="left"/>
      <w:pPr>
        <w:ind w:left="1349" w:hanging="524"/>
        <w:jc w:val="left"/>
      </w:pPr>
      <w:rPr>
        <w:rFonts w:hint="default" w:ascii="Times New Roman" w:hAnsi="Times New Roman" w:eastAsia="Times New Roman" w:cs="Times New Roman"/>
        <w:spacing w:val="-10"/>
        <w:w w:val="100"/>
        <w:sz w:val="24"/>
        <w:szCs w:val="24"/>
        <w:lang w:val="zh-cn" w:eastAsia="zh-cn" w:bidi="zh-cn"/>
      </w:rPr>
    </w:lvl>
    <w:lvl w:ilvl="2">
      <w:start w:val="0"/>
      <w:numFmt w:val="bullet"/>
      <w:lvlText w:val="•"/>
      <w:lvlJc w:val="left"/>
      <w:pPr>
        <w:ind w:left="2231" w:hanging="524"/>
      </w:pPr>
      <w:rPr>
        <w:rFonts w:hint="default"/>
        <w:lang w:val="zh-cn" w:eastAsia="zh-cn" w:bidi="zh-cn"/>
      </w:rPr>
    </w:lvl>
    <w:lvl w:ilvl="3">
      <w:start w:val="0"/>
      <w:numFmt w:val="bullet"/>
      <w:lvlText w:val="•"/>
      <w:lvlJc w:val="left"/>
      <w:pPr>
        <w:ind w:left="3123" w:hanging="524"/>
      </w:pPr>
      <w:rPr>
        <w:rFonts w:hint="default"/>
        <w:lang w:val="zh-cn" w:eastAsia="zh-cn" w:bidi="zh-cn"/>
      </w:rPr>
    </w:lvl>
    <w:lvl w:ilvl="4">
      <w:start w:val="0"/>
      <w:numFmt w:val="bullet"/>
      <w:lvlText w:val="•"/>
      <w:lvlJc w:val="left"/>
      <w:pPr>
        <w:ind w:left="4015" w:hanging="524"/>
      </w:pPr>
      <w:rPr>
        <w:rFonts w:hint="default"/>
        <w:lang w:val="zh-cn" w:eastAsia="zh-cn" w:bidi="zh-cn"/>
      </w:rPr>
    </w:lvl>
    <w:lvl w:ilvl="5">
      <w:start w:val="0"/>
      <w:numFmt w:val="bullet"/>
      <w:lvlText w:val="•"/>
      <w:lvlJc w:val="left"/>
      <w:pPr>
        <w:ind w:left="4907" w:hanging="524"/>
      </w:pPr>
      <w:rPr>
        <w:rFonts w:hint="default"/>
        <w:lang w:val="zh-cn" w:eastAsia="zh-cn" w:bidi="zh-cn"/>
      </w:rPr>
    </w:lvl>
    <w:lvl w:ilvl="6">
      <w:start w:val="0"/>
      <w:numFmt w:val="bullet"/>
      <w:lvlText w:val="•"/>
      <w:lvlJc w:val="left"/>
      <w:pPr>
        <w:ind w:left="5799" w:hanging="524"/>
      </w:pPr>
      <w:rPr>
        <w:rFonts w:hint="default"/>
        <w:lang w:val="zh-cn" w:eastAsia="zh-cn" w:bidi="zh-cn"/>
      </w:rPr>
    </w:lvl>
    <w:lvl w:ilvl="7">
      <w:start w:val="0"/>
      <w:numFmt w:val="bullet"/>
      <w:lvlText w:val="•"/>
      <w:lvlJc w:val="left"/>
      <w:pPr>
        <w:ind w:left="6690" w:hanging="524"/>
      </w:pPr>
      <w:rPr>
        <w:rFonts w:hint="default"/>
        <w:lang w:val="zh-cn" w:eastAsia="zh-cn" w:bidi="zh-cn"/>
      </w:rPr>
    </w:lvl>
    <w:lvl w:ilvl="8">
      <w:start w:val="0"/>
      <w:numFmt w:val="bullet"/>
      <w:lvlText w:val="•"/>
      <w:lvlJc w:val="left"/>
      <w:pPr>
        <w:ind w:left="7582" w:hanging="524"/>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oto Sans CJK JP Regular" w:hAnsi="Noto Sans CJK JP Regular" w:eastAsia="Noto Sans CJK JP Regular" w:cs="Noto Sans CJK JP Regular"/>
      <w:lang w:val="zh-cn" w:eastAsia="zh-cn" w:bidi="zh-cn"/>
    </w:rPr>
  </w:style>
  <w:style w:styleId="TOC1" w:type="paragraph">
    <w:name w:val="TOC 1"/>
    <w:basedOn w:val="Normal"/>
    <w:uiPriority w:val="1"/>
    <w:qFormat/>
    <w:pPr>
      <w:spacing w:line="431" w:lineRule="exact"/>
      <w:ind w:left="1034" w:hanging="420"/>
    </w:pPr>
    <w:rPr>
      <w:rFonts w:ascii="Noto Sans CJK JP Regular" w:hAnsi="Noto Sans CJK JP Regular" w:eastAsia="Noto Sans CJK JP Regular" w:cs="Noto Sans CJK JP Regular"/>
      <w:sz w:val="24"/>
      <w:szCs w:val="24"/>
      <w:lang w:val="zh-cn" w:eastAsia="zh-cn" w:bidi="zh-cn"/>
    </w:rPr>
  </w:style>
  <w:style w:styleId="TOC2" w:type="paragraph">
    <w:name w:val="TOC 2"/>
    <w:basedOn w:val="Normal"/>
    <w:uiPriority w:val="1"/>
    <w:qFormat/>
    <w:pPr>
      <w:spacing w:line="432" w:lineRule="exact"/>
      <w:ind w:left="1034" w:hanging="420"/>
    </w:pPr>
    <w:rPr>
      <w:rFonts w:ascii="Noto Sans CJK JP Regular" w:hAnsi="Noto Sans CJK JP Regular" w:eastAsia="Noto Sans CJK JP Regular" w:cs="Noto Sans CJK JP Regular"/>
      <w:b/>
      <w:bCs/>
      <w:i/>
      <w:lang w:val="zh-cn" w:eastAsia="zh-cn" w:bidi="zh-cn"/>
    </w:rPr>
  </w:style>
  <w:style w:styleId="TOC3" w:type="paragraph">
    <w:name w:val="TOC 3"/>
    <w:basedOn w:val="Normal"/>
    <w:uiPriority w:val="1"/>
    <w:qFormat/>
    <w:pPr>
      <w:spacing w:line="432" w:lineRule="exact"/>
      <w:ind w:left="1349" w:hanging="523"/>
    </w:pPr>
    <w:rPr>
      <w:rFonts w:ascii="Noto Sans CJK JP Regular" w:hAnsi="Noto Sans CJK JP Regular" w:eastAsia="Noto Sans CJK JP Regular" w:cs="Noto Sans CJK JP Regular"/>
      <w:sz w:val="24"/>
      <w:szCs w:val="24"/>
      <w:lang w:val="zh-cn" w:eastAsia="zh-cn" w:bidi="zh-cn"/>
    </w:rPr>
  </w:style>
  <w:style w:styleId="BodyText" w:type="paragraph">
    <w:name w:val="Body Text"/>
    <w:basedOn w:val="Normal"/>
    <w:uiPriority w:val="1"/>
    <w:qFormat/>
    <w:pPr/>
    <w:rPr>
      <w:rFonts w:ascii="Noto Sans CJK JP Regular" w:hAnsi="Noto Sans CJK JP Regular" w:eastAsia="Noto Sans CJK JP Regular" w:cs="Noto Sans CJK JP Regular"/>
      <w:sz w:val="21"/>
      <w:szCs w:val="21"/>
      <w:lang w:val="zh-cn" w:eastAsia="zh-cn" w:bidi="zh-cn"/>
    </w:rPr>
  </w:style>
  <w:style w:styleId="Heading1" w:type="paragraph">
    <w:name w:val="Heading 1"/>
    <w:basedOn w:val="Normal"/>
    <w:uiPriority w:val="1"/>
    <w:qFormat/>
    <w:pPr>
      <w:spacing w:line="645" w:lineRule="exact"/>
      <w:ind w:left="614" w:hanging="420"/>
      <w:outlineLvl w:val="1"/>
    </w:pPr>
    <w:rPr>
      <w:rFonts w:ascii="Droid Sans Fallback" w:hAnsi="Droid Sans Fallback" w:eastAsia="Droid Sans Fallback" w:cs="Droid Sans Fallback"/>
      <w:sz w:val="32"/>
      <w:szCs w:val="32"/>
      <w:lang w:val="zh-cn" w:eastAsia="zh-cn" w:bidi="zh-cn"/>
    </w:rPr>
  </w:style>
  <w:style w:styleId="Heading2" w:type="paragraph">
    <w:name w:val="Heading 2"/>
    <w:basedOn w:val="Normal"/>
    <w:uiPriority w:val="1"/>
    <w:qFormat/>
    <w:pPr>
      <w:spacing w:line="560" w:lineRule="exact"/>
      <w:ind w:left="960" w:hanging="840"/>
      <w:outlineLvl w:val="2"/>
    </w:pPr>
    <w:rPr>
      <w:rFonts w:ascii="Noto Sans CJK JP Regular" w:hAnsi="Noto Sans CJK JP Regular" w:eastAsia="Noto Sans CJK JP Regular" w:cs="Noto Sans CJK JP Regular"/>
      <w:sz w:val="30"/>
      <w:szCs w:val="30"/>
      <w:lang w:val="zh-cn" w:eastAsia="zh-cn" w:bidi="zh-cn"/>
    </w:rPr>
  </w:style>
  <w:style w:styleId="Heading3" w:type="paragraph">
    <w:name w:val="Heading 3"/>
    <w:basedOn w:val="Normal"/>
    <w:uiPriority w:val="1"/>
    <w:qFormat/>
    <w:pPr>
      <w:spacing w:line="468" w:lineRule="exact"/>
      <w:ind w:left="838"/>
      <w:outlineLvl w:val="3"/>
    </w:pPr>
    <w:rPr>
      <w:rFonts w:ascii="Noto Sans CJK JP Regular" w:hAnsi="Noto Sans CJK JP Regular" w:eastAsia="Noto Sans CJK JP Regular" w:cs="Noto Sans CJK JP Regular"/>
      <w:sz w:val="24"/>
      <w:szCs w:val="24"/>
      <w:lang w:val="zh-cn" w:eastAsia="zh-cn" w:bidi="zh-cn"/>
    </w:rPr>
  </w:style>
  <w:style w:styleId="ListParagraph" w:type="paragraph">
    <w:name w:val="List Paragraph"/>
    <w:basedOn w:val="Normal"/>
    <w:uiPriority w:val="1"/>
    <w:qFormat/>
    <w:pPr>
      <w:spacing w:line="432" w:lineRule="exact"/>
      <w:ind w:left="1034" w:hanging="420"/>
    </w:pPr>
    <w:rPr>
      <w:rFonts w:ascii="Noto Sans CJK JP Regular" w:hAnsi="Noto Sans CJK JP Regular" w:eastAsia="Noto Sans CJK JP Regular" w:cs="Noto Sans CJK JP Regular"/>
      <w:lang w:val="zh-cn" w:eastAsia="zh-cn" w:bidi="zh-cn"/>
    </w:rPr>
  </w:style>
  <w:style w:styleId="TableParagraph" w:type="paragraph">
    <w:name w:val="Table Paragraph"/>
    <w:basedOn w:val="Normal"/>
    <w:uiPriority w:val="1"/>
    <w:qFormat/>
    <w:pPr/>
    <w:rPr>
      <w:rFonts w:ascii="Noto Sans CJK JP Regular" w:hAnsi="Noto Sans CJK JP Regular" w:eastAsia="Noto Sans CJK JP Regular" w:cs="Noto Sans CJK JP Regula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image" Target="media/image7.jpeg"/><Relationship Id="rId18" Type="http://schemas.openxmlformats.org/officeDocument/2006/relationships/image" Target="media/image8.jpeg"/><Relationship Id="rId19" Type="http://schemas.openxmlformats.org/officeDocument/2006/relationships/image" Target="media/image9.jpeg"/><Relationship Id="rId20" Type="http://schemas.openxmlformats.org/officeDocument/2006/relationships/image" Target="media/image10.jpeg"/><Relationship Id="rId21" Type="http://schemas.openxmlformats.org/officeDocument/2006/relationships/image" Target="media/image11.jpeg"/><Relationship Id="rId22" Type="http://schemas.openxmlformats.org/officeDocument/2006/relationships/image" Target="media/image12.jpeg"/><Relationship Id="rId23" Type="http://schemas.openxmlformats.org/officeDocument/2006/relationships/image" Target="media/image13.jpeg"/><Relationship Id="rId24" Type="http://schemas.openxmlformats.org/officeDocument/2006/relationships/image" Target="media/image14.jpeg"/><Relationship Id="rId25" Type="http://schemas.openxmlformats.org/officeDocument/2006/relationships/image" Target="media/image15.jpeg"/><Relationship Id="rId26" Type="http://schemas.openxmlformats.org/officeDocument/2006/relationships/image" Target="media/image16.jpeg"/><Relationship Id="rId27" Type="http://schemas.openxmlformats.org/officeDocument/2006/relationships/image" Target="media/image17.jpeg"/><Relationship Id="rId28" Type="http://schemas.openxmlformats.org/officeDocument/2006/relationships/image" Target="media/image18.jpeg"/><Relationship Id="rId29" Type="http://schemas.openxmlformats.org/officeDocument/2006/relationships/header" Target="header4.xml"/><Relationship Id="rId30" Type="http://schemas.openxmlformats.org/officeDocument/2006/relationships/footer" Target="footer4.xml"/><Relationship Id="rId31" Type="http://schemas.openxmlformats.org/officeDocument/2006/relationships/image" Target="media/image19.jpeg"/><Relationship Id="rId32" Type="http://schemas.openxmlformats.org/officeDocument/2006/relationships/footer" Target="footer5.xml"/><Relationship Id="rId33" Type="http://schemas.openxmlformats.org/officeDocument/2006/relationships/image" Target="media/image20.jpeg"/><Relationship Id="rId34" Type="http://schemas.openxmlformats.org/officeDocument/2006/relationships/footer" Target="footer6.xml"/><Relationship Id="rId35" Type="http://schemas.openxmlformats.org/officeDocument/2006/relationships/header" Target="header5.xml"/><Relationship Id="rId36" Type="http://schemas.openxmlformats.org/officeDocument/2006/relationships/footer" Target="footer7.xml"/><Relationship Id="rId37" Type="http://schemas.openxmlformats.org/officeDocument/2006/relationships/image" Target="media/image21.jpeg"/><Relationship Id="rId38" Type="http://schemas.openxmlformats.org/officeDocument/2006/relationships/image" Target="media/image22.jpeg"/><Relationship Id="rId39" Type="http://schemas.openxmlformats.org/officeDocument/2006/relationships/image" Target="media/image23.jpeg"/><Relationship Id="rId40" Type="http://schemas.openxmlformats.org/officeDocument/2006/relationships/image" Target="media/image24.jpeg"/><Relationship Id="rId41" Type="http://schemas.openxmlformats.org/officeDocument/2006/relationships/header" Target="header6.xml"/><Relationship Id="rId42" Type="http://schemas.openxmlformats.org/officeDocument/2006/relationships/footer" Target="footer8.xml"/><Relationship Id="rId43" Type="http://schemas.openxmlformats.org/officeDocument/2006/relationships/image" Target="media/image25.jpeg"/><Relationship Id="rId44" Type="http://schemas.openxmlformats.org/officeDocument/2006/relationships/image" Target="media/image26.png"/><Relationship Id="rId45" Type="http://schemas.openxmlformats.org/officeDocument/2006/relationships/header" Target="header7.xml"/><Relationship Id="rId46" Type="http://schemas.openxmlformats.org/officeDocument/2006/relationships/footer" Target="footer9.xml"/><Relationship Id="rId47" Type="http://schemas.openxmlformats.org/officeDocument/2006/relationships/header" Target="header8.xml"/><Relationship Id="rId48" Type="http://schemas.openxmlformats.org/officeDocument/2006/relationships/footer" Target="footer10.xml"/><Relationship Id="rId49" Type="http://schemas.openxmlformats.org/officeDocument/2006/relationships/image" Target="media/image27.jpeg"/><Relationship Id="rId5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dcterms:created xsi:type="dcterms:W3CDTF">2019-09-20T00:51:45Z</dcterms:created>
  <dcterms:modified xsi:type="dcterms:W3CDTF">2019-09-20T00:51:45Z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2019-09-20T00:00:00Z</vt:filetime>
  </property>
</Properties>
</file>